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F6ED7" w14:textId="3DCF3040" w:rsidR="004E2040" w:rsidRPr="00A80308" w:rsidRDefault="00106780" w:rsidP="004E2040">
      <w:pPr>
        <w:spacing w:after="120" w:line="240" w:lineRule="auto"/>
        <w:jc w:val="right"/>
        <w:rPr>
          <w:rFonts w:ascii="Arial" w:hAnsi="Arial" w:cs="Arial"/>
          <w:b/>
        </w:rPr>
      </w:pPr>
      <w:r w:rsidRPr="00A80308">
        <w:rPr>
          <w:rFonts w:ascii="Arial" w:hAnsi="Arial" w:cs="Arial"/>
          <w:b/>
        </w:rPr>
        <w:t>I</w:t>
      </w:r>
      <w:r w:rsidR="004E2040" w:rsidRPr="00A80308">
        <w:rPr>
          <w:rFonts w:ascii="Arial" w:hAnsi="Arial" w:cs="Arial"/>
          <w:b/>
        </w:rPr>
        <w:t>II</w:t>
      </w:r>
      <w:r w:rsidR="009A7E4A" w:rsidRPr="00A80308">
        <w:rPr>
          <w:rFonts w:ascii="Arial" w:hAnsi="Arial" w:cs="Arial"/>
          <w:b/>
        </w:rPr>
        <w:t>.</w:t>
      </w:r>
    </w:p>
    <w:p w14:paraId="2F6DC85F" w14:textId="77777777" w:rsidR="00A80308" w:rsidRDefault="00A80308" w:rsidP="00A80308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048F1046" w14:textId="3BF192B7" w:rsidR="00A80308" w:rsidRPr="00E6549D" w:rsidRDefault="00A80308" w:rsidP="00A80308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E6549D">
        <w:rPr>
          <w:rFonts w:ascii="Arial" w:eastAsia="Calibri" w:hAnsi="Arial" w:cs="Arial"/>
          <w:b/>
          <w:sz w:val="28"/>
          <w:szCs w:val="28"/>
        </w:rPr>
        <w:t>NÁVRHY V</w:t>
      </w:r>
      <w:r w:rsidR="00953B16" w:rsidRPr="00E6549D">
        <w:rPr>
          <w:rFonts w:ascii="Arial" w:eastAsia="Calibri" w:hAnsi="Arial" w:cs="Arial"/>
          <w:b/>
          <w:sz w:val="28"/>
          <w:szCs w:val="28"/>
        </w:rPr>
        <w:t>ELKÝCH VÝZKUMNÝCH INFRASTRUKTUR</w:t>
      </w:r>
    </w:p>
    <w:p w14:paraId="1309590E" w14:textId="77777777" w:rsidR="00E6549D" w:rsidRDefault="00A80308" w:rsidP="00A80308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E6549D">
        <w:rPr>
          <w:rFonts w:ascii="Arial" w:eastAsia="Calibri" w:hAnsi="Arial" w:cs="Arial"/>
          <w:b/>
          <w:sz w:val="28"/>
          <w:szCs w:val="28"/>
        </w:rPr>
        <w:t xml:space="preserve">KE SCHVÁLENÍ </w:t>
      </w:r>
      <w:r w:rsidR="00CD036B" w:rsidRPr="00E6549D">
        <w:rPr>
          <w:rFonts w:ascii="Arial" w:eastAsia="Calibri" w:hAnsi="Arial" w:cs="Arial"/>
          <w:b/>
          <w:sz w:val="28"/>
          <w:szCs w:val="28"/>
        </w:rPr>
        <w:t xml:space="preserve">POSKYTOVÁNÍ </w:t>
      </w:r>
      <w:r w:rsidRPr="00E6549D">
        <w:rPr>
          <w:rFonts w:ascii="Arial" w:eastAsia="Calibri" w:hAnsi="Arial" w:cs="Arial"/>
          <w:b/>
          <w:sz w:val="28"/>
          <w:szCs w:val="28"/>
        </w:rPr>
        <w:t xml:space="preserve">ÚČELOVÉ PODPORY </w:t>
      </w:r>
    </w:p>
    <w:p w14:paraId="650AB161" w14:textId="1933EB0E" w:rsidR="00106780" w:rsidRPr="00E6549D" w:rsidRDefault="004F5BC4" w:rsidP="00A80308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V LETECH 2023–</w:t>
      </w:r>
      <w:r w:rsidR="00A80308" w:rsidRPr="00E6549D">
        <w:rPr>
          <w:rFonts w:ascii="Arial" w:eastAsia="Calibri" w:hAnsi="Arial" w:cs="Arial"/>
          <w:b/>
          <w:sz w:val="28"/>
          <w:szCs w:val="28"/>
        </w:rPr>
        <w:t>202</w:t>
      </w:r>
      <w:r w:rsidR="006C7598" w:rsidRPr="00E6549D">
        <w:rPr>
          <w:rFonts w:ascii="Arial" w:eastAsia="Calibri" w:hAnsi="Arial" w:cs="Arial"/>
          <w:b/>
          <w:sz w:val="28"/>
          <w:szCs w:val="28"/>
        </w:rPr>
        <w:t>6</w:t>
      </w:r>
    </w:p>
    <w:p w14:paraId="7201FE97" w14:textId="77777777" w:rsidR="00A80308" w:rsidRDefault="00A80308" w:rsidP="00106780">
      <w:pPr>
        <w:spacing w:after="0" w:line="240" w:lineRule="auto"/>
        <w:rPr>
          <w:rFonts w:ascii="Arial" w:eastAsia="Calibri" w:hAnsi="Arial" w:cs="Arial"/>
        </w:rPr>
      </w:pPr>
    </w:p>
    <w:p w14:paraId="010BDAFB" w14:textId="77777777" w:rsidR="00CD036B" w:rsidRDefault="00CD036B" w:rsidP="00A80308">
      <w:pPr>
        <w:spacing w:after="0" w:line="240" w:lineRule="auto"/>
        <w:jc w:val="both"/>
        <w:rPr>
          <w:rFonts w:ascii="Arial" w:eastAsia="Calibri" w:hAnsi="Arial" w:cs="Arial"/>
        </w:rPr>
      </w:pPr>
    </w:p>
    <w:p w14:paraId="365831BE" w14:textId="17A745C6" w:rsidR="00A80308" w:rsidRDefault="00D15246" w:rsidP="00A80308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M</w:t>
      </w:r>
      <w:r w:rsidR="00A80308">
        <w:rPr>
          <w:rFonts w:ascii="Arial" w:eastAsia="Calibri" w:hAnsi="Arial" w:cs="Arial"/>
        </w:rPr>
        <w:t>ateriál</w:t>
      </w:r>
      <w:r>
        <w:rPr>
          <w:rFonts w:ascii="Arial" w:eastAsia="Calibri" w:hAnsi="Arial" w:cs="Arial"/>
        </w:rPr>
        <w:t>em</w:t>
      </w:r>
      <w:r w:rsidR="00A80308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předkládaným Ministerstvem školství, mládeže a tělovýchovy (dále jen „MŠMT</w:t>
      </w:r>
      <w:r w:rsidR="00597469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 xml:space="preserve">) </w:t>
      </w:r>
      <w:r w:rsidR="00A80308">
        <w:rPr>
          <w:rFonts w:ascii="Arial" w:eastAsia="Calibri" w:hAnsi="Arial" w:cs="Arial"/>
        </w:rPr>
        <w:t xml:space="preserve">ke schválení vládou ČR </w:t>
      </w:r>
      <w:r>
        <w:rPr>
          <w:rFonts w:ascii="Arial" w:eastAsia="Calibri" w:hAnsi="Arial" w:cs="Arial"/>
        </w:rPr>
        <w:t>je</w:t>
      </w:r>
      <w:r w:rsidR="00A80308">
        <w:rPr>
          <w:rFonts w:ascii="Arial" w:eastAsia="Calibri" w:hAnsi="Arial" w:cs="Arial"/>
        </w:rPr>
        <w:t xml:space="preserve"> </w:t>
      </w:r>
      <w:r w:rsidR="00A80308" w:rsidRPr="004F5BC4">
        <w:rPr>
          <w:rFonts w:ascii="Arial" w:eastAsia="Calibri" w:hAnsi="Arial" w:cs="Arial"/>
        </w:rPr>
        <w:t xml:space="preserve">návrh </w:t>
      </w:r>
      <w:r w:rsidR="004F5BC4">
        <w:rPr>
          <w:rFonts w:ascii="Arial" w:eastAsia="Calibri" w:hAnsi="Arial" w:cs="Arial"/>
        </w:rPr>
        <w:t xml:space="preserve">na </w:t>
      </w:r>
      <w:r w:rsidRPr="004F5BC4">
        <w:rPr>
          <w:rFonts w:ascii="Arial" w:eastAsia="Calibri" w:hAnsi="Arial" w:cs="Arial"/>
        </w:rPr>
        <w:t>poskytování</w:t>
      </w:r>
      <w:r w:rsidR="00A80308" w:rsidRPr="004F5BC4">
        <w:rPr>
          <w:rFonts w:ascii="Arial" w:eastAsia="Calibri" w:hAnsi="Arial" w:cs="Arial"/>
        </w:rPr>
        <w:t xml:space="preserve"> účelové podpory </w:t>
      </w:r>
      <w:r w:rsidRPr="004F5BC4">
        <w:rPr>
          <w:rFonts w:ascii="Arial" w:eastAsia="Calibri" w:hAnsi="Arial" w:cs="Arial"/>
        </w:rPr>
        <w:t xml:space="preserve">MŠMT </w:t>
      </w:r>
      <w:r w:rsidR="00A80308" w:rsidRPr="004F5BC4">
        <w:rPr>
          <w:rFonts w:ascii="Arial" w:eastAsia="Calibri" w:hAnsi="Arial" w:cs="Arial"/>
        </w:rPr>
        <w:t xml:space="preserve">velkým výzkumným infrastrukturám </w:t>
      </w:r>
      <w:r w:rsidRPr="004F5BC4">
        <w:rPr>
          <w:rFonts w:ascii="Arial" w:eastAsia="Calibri" w:hAnsi="Arial" w:cs="Arial"/>
        </w:rPr>
        <w:t>v</w:t>
      </w:r>
      <w:r w:rsidR="004F5BC4" w:rsidRPr="004F5BC4">
        <w:rPr>
          <w:rFonts w:ascii="Arial" w:eastAsia="Calibri" w:hAnsi="Arial" w:cs="Arial"/>
        </w:rPr>
        <w:t> letech 2023–</w:t>
      </w:r>
      <w:r w:rsidR="00A80308" w:rsidRPr="004F5BC4">
        <w:rPr>
          <w:rFonts w:ascii="Arial" w:eastAsia="Calibri" w:hAnsi="Arial" w:cs="Arial"/>
        </w:rPr>
        <w:t>202</w:t>
      </w:r>
      <w:r w:rsidR="000A4B7A" w:rsidRPr="004F5BC4">
        <w:rPr>
          <w:rFonts w:ascii="Arial" w:eastAsia="Calibri" w:hAnsi="Arial" w:cs="Arial"/>
        </w:rPr>
        <w:t>6</w:t>
      </w:r>
      <w:r w:rsidR="00A80308">
        <w:rPr>
          <w:rFonts w:ascii="Arial" w:eastAsia="Calibri" w:hAnsi="Arial" w:cs="Arial"/>
        </w:rPr>
        <w:t xml:space="preserve"> </w:t>
      </w:r>
      <w:r w:rsidR="00A80308" w:rsidRPr="00A80308">
        <w:rPr>
          <w:rFonts w:ascii="Arial" w:eastAsia="Calibri" w:hAnsi="Arial" w:cs="Arial"/>
        </w:rPr>
        <w:t>návazn</w:t>
      </w:r>
      <w:r w:rsidR="004F5BC4">
        <w:rPr>
          <w:rFonts w:ascii="Arial" w:eastAsia="Calibri" w:hAnsi="Arial" w:cs="Arial"/>
        </w:rPr>
        <w:t>ě</w:t>
      </w:r>
      <w:r w:rsidR="00A80308" w:rsidRPr="00A80308">
        <w:rPr>
          <w:rFonts w:ascii="Arial" w:eastAsia="Calibri" w:hAnsi="Arial" w:cs="Arial"/>
        </w:rPr>
        <w:t xml:space="preserve"> na mezinárodní hodnocení velkých výzkumných infrastruktur</w:t>
      </w:r>
      <w:r w:rsidR="00A80308">
        <w:rPr>
          <w:rFonts w:ascii="Arial" w:eastAsia="Calibri" w:hAnsi="Arial" w:cs="Arial"/>
        </w:rPr>
        <w:t>, které se</w:t>
      </w:r>
      <w:r w:rsidR="00A80308" w:rsidRPr="00A80308">
        <w:rPr>
          <w:rFonts w:ascii="Arial" w:eastAsia="Calibri" w:hAnsi="Arial" w:cs="Arial"/>
        </w:rPr>
        <w:t xml:space="preserve"> uskutečn</w:t>
      </w:r>
      <w:r w:rsidR="00A80308">
        <w:rPr>
          <w:rFonts w:ascii="Arial" w:eastAsia="Calibri" w:hAnsi="Arial" w:cs="Arial"/>
        </w:rPr>
        <w:t>il</w:t>
      </w:r>
      <w:r w:rsidR="00A80308" w:rsidRPr="00A80308">
        <w:rPr>
          <w:rFonts w:ascii="Arial" w:eastAsia="Calibri" w:hAnsi="Arial" w:cs="Arial"/>
        </w:rPr>
        <w:t xml:space="preserve">o </w:t>
      </w:r>
      <w:r w:rsidR="004D5819">
        <w:rPr>
          <w:rFonts w:ascii="Arial" w:eastAsia="Calibri" w:hAnsi="Arial" w:cs="Arial"/>
        </w:rPr>
        <w:t xml:space="preserve">v </w:t>
      </w:r>
      <w:r w:rsidR="00A80308" w:rsidRPr="00A80308">
        <w:rPr>
          <w:rFonts w:ascii="Arial" w:eastAsia="Calibri" w:hAnsi="Arial" w:cs="Arial"/>
        </w:rPr>
        <w:t>ro</w:t>
      </w:r>
      <w:r w:rsidR="004D5819">
        <w:rPr>
          <w:rFonts w:ascii="Arial" w:eastAsia="Calibri" w:hAnsi="Arial" w:cs="Arial"/>
        </w:rPr>
        <w:t>ce</w:t>
      </w:r>
      <w:r w:rsidR="00A80308" w:rsidRPr="00A80308">
        <w:rPr>
          <w:rFonts w:ascii="Arial" w:eastAsia="Calibri" w:hAnsi="Arial" w:cs="Arial"/>
        </w:rPr>
        <w:t xml:space="preserve"> 20</w:t>
      </w:r>
      <w:r w:rsidR="000A4B7A">
        <w:rPr>
          <w:rFonts w:ascii="Arial" w:eastAsia="Calibri" w:hAnsi="Arial" w:cs="Arial"/>
        </w:rPr>
        <w:t>21</w:t>
      </w:r>
      <w:r w:rsidR="00A80308">
        <w:rPr>
          <w:rFonts w:ascii="Arial" w:eastAsia="Calibri" w:hAnsi="Arial" w:cs="Arial"/>
        </w:rPr>
        <w:t xml:space="preserve">. Předkládaný materiál </w:t>
      </w:r>
      <w:r w:rsidR="004F5BC4">
        <w:rPr>
          <w:rFonts w:ascii="Arial" w:eastAsia="Calibri" w:hAnsi="Arial" w:cs="Arial"/>
        </w:rPr>
        <w:t xml:space="preserve">taktéž </w:t>
      </w:r>
      <w:r w:rsidR="00A80308">
        <w:rPr>
          <w:rFonts w:ascii="Arial" w:eastAsia="Calibri" w:hAnsi="Arial" w:cs="Arial"/>
        </w:rPr>
        <w:t xml:space="preserve">rekapituluje </w:t>
      </w:r>
      <w:r>
        <w:rPr>
          <w:rFonts w:ascii="Arial" w:eastAsia="Calibri" w:hAnsi="Arial" w:cs="Arial"/>
        </w:rPr>
        <w:t xml:space="preserve">genezi </w:t>
      </w:r>
      <w:r w:rsidR="00A80308">
        <w:rPr>
          <w:rFonts w:ascii="Arial" w:eastAsia="Calibri" w:hAnsi="Arial" w:cs="Arial"/>
        </w:rPr>
        <w:t>agendy velkých výzkumných infrastruktur</w:t>
      </w:r>
      <w:r w:rsidR="004F5BC4">
        <w:rPr>
          <w:rFonts w:ascii="Arial" w:eastAsia="Calibri" w:hAnsi="Arial" w:cs="Arial"/>
        </w:rPr>
        <w:t xml:space="preserve"> a </w:t>
      </w:r>
      <w:r w:rsidR="00875FA8">
        <w:rPr>
          <w:rFonts w:ascii="Arial" w:eastAsia="Calibri" w:hAnsi="Arial" w:cs="Arial"/>
        </w:rPr>
        <w:t>její zasazení do evropského a globálního kontextu</w:t>
      </w:r>
      <w:r w:rsidR="00A80308">
        <w:rPr>
          <w:rFonts w:ascii="Arial" w:eastAsia="Calibri" w:hAnsi="Arial" w:cs="Arial"/>
        </w:rPr>
        <w:t>.</w:t>
      </w:r>
    </w:p>
    <w:p w14:paraId="6643BFE3" w14:textId="77777777" w:rsidR="00106780" w:rsidRPr="00106780" w:rsidRDefault="00106780" w:rsidP="00106780">
      <w:pPr>
        <w:spacing w:after="0" w:line="240" w:lineRule="auto"/>
        <w:rPr>
          <w:rFonts w:ascii="Arial" w:eastAsia="Calibri" w:hAnsi="Arial" w:cs="Arial"/>
        </w:rPr>
      </w:pPr>
    </w:p>
    <w:p w14:paraId="502545A6" w14:textId="77777777" w:rsidR="00106780" w:rsidRPr="00E6549D" w:rsidRDefault="00106780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caps/>
          <w:u w:val="single"/>
        </w:rPr>
      </w:pPr>
      <w:r w:rsidRPr="00E6549D">
        <w:rPr>
          <w:rFonts w:ascii="Arial" w:eastAsia="Calibri" w:hAnsi="Arial" w:cs="Arial"/>
          <w:b/>
          <w:caps/>
          <w:u w:val="single"/>
        </w:rPr>
        <w:t xml:space="preserve">Výzkumné infrastruktury v Evropském výzkumném prostoru </w:t>
      </w:r>
    </w:p>
    <w:p w14:paraId="40EDD782" w14:textId="6EE5C313" w:rsidR="00106780" w:rsidRDefault="00106780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4B392AD2" w14:textId="439DED93" w:rsidR="00A80CE1" w:rsidRDefault="00A80CE1" w:rsidP="00A80CE1">
      <w:pPr>
        <w:spacing w:after="0" w:line="240" w:lineRule="auto"/>
        <w:jc w:val="both"/>
        <w:rPr>
          <w:rFonts w:ascii="Arial" w:eastAsia="Calibri" w:hAnsi="Arial" w:cs="Arial"/>
        </w:rPr>
      </w:pPr>
      <w:r w:rsidRPr="00106780">
        <w:rPr>
          <w:rFonts w:ascii="Arial" w:eastAsia="Calibri" w:hAnsi="Arial" w:cs="Arial"/>
        </w:rPr>
        <w:t xml:space="preserve">Rostoucí význam výzkumných infrastruktur ve vztahu k posilování konkurenceschopnosti </w:t>
      </w:r>
      <w:r>
        <w:rPr>
          <w:rFonts w:ascii="Arial" w:eastAsia="Calibri" w:hAnsi="Arial" w:cs="Arial"/>
        </w:rPr>
        <w:t xml:space="preserve">EU a </w:t>
      </w:r>
      <w:r w:rsidRPr="00106780">
        <w:rPr>
          <w:rFonts w:ascii="Arial" w:eastAsia="Calibri" w:hAnsi="Arial" w:cs="Arial"/>
        </w:rPr>
        <w:t>Evropského výzkumného prostoru (</w:t>
      </w:r>
      <w:r w:rsidRPr="00106780">
        <w:rPr>
          <w:rFonts w:ascii="Arial" w:eastAsia="Calibri" w:hAnsi="Arial" w:cs="Arial"/>
          <w:i/>
        </w:rPr>
        <w:t>European Research Area</w:t>
      </w:r>
      <w:r>
        <w:rPr>
          <w:rFonts w:ascii="Arial" w:eastAsia="Calibri" w:hAnsi="Arial" w:cs="Arial"/>
        </w:rPr>
        <w:t>, dále jen „ERA“) v globálním kontextu</w:t>
      </w:r>
      <w:r w:rsidRPr="00106780">
        <w:rPr>
          <w:rFonts w:ascii="Arial" w:eastAsia="Calibri" w:hAnsi="Arial" w:cs="Arial"/>
        </w:rPr>
        <w:t xml:space="preserve"> byl </w:t>
      </w:r>
      <w:r w:rsidR="006908F2">
        <w:rPr>
          <w:rFonts w:ascii="Arial" w:eastAsia="Calibri" w:hAnsi="Arial" w:cs="Arial"/>
        </w:rPr>
        <w:t>v průběhu</w:t>
      </w:r>
      <w:r w:rsidRPr="00106780">
        <w:rPr>
          <w:rFonts w:ascii="Arial" w:eastAsia="Calibri" w:hAnsi="Arial" w:cs="Arial"/>
        </w:rPr>
        <w:t xml:space="preserve"> uplynulého období reflektován celou řadou významných opatření</w:t>
      </w:r>
      <w:r w:rsidR="006908F2">
        <w:rPr>
          <w:rFonts w:ascii="Arial" w:eastAsia="Calibri" w:hAnsi="Arial" w:cs="Arial"/>
        </w:rPr>
        <w:t>, které dokládají, že výzkumné infrastruktury jsou zcela stěžejním pilířem výzkumného a inovačního ekosystému a přispívají k ekonomickému rozvoji a řešení tzv. velkých společenských výzev</w:t>
      </w:r>
      <w:r w:rsidRPr="00106780">
        <w:rPr>
          <w:rFonts w:ascii="Arial" w:eastAsia="Calibri" w:hAnsi="Arial" w:cs="Arial"/>
        </w:rPr>
        <w:t>.</w:t>
      </w:r>
    </w:p>
    <w:p w14:paraId="05C3FFCE" w14:textId="77777777" w:rsidR="00A80CE1" w:rsidRPr="00106780" w:rsidRDefault="00A80CE1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07614728" w14:textId="3DEACC92" w:rsidR="00E6549D" w:rsidRPr="00EB7026" w:rsidRDefault="00E6549D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 w:rsidRPr="00EB7026">
        <w:rPr>
          <w:rFonts w:ascii="Arial" w:eastAsia="Calibri" w:hAnsi="Arial" w:cs="Arial"/>
          <w:b/>
          <w:bCs/>
          <w:u w:val="single"/>
        </w:rPr>
        <w:t>Evropské strategické fórum pro výzkumné infrastruktury</w:t>
      </w:r>
      <w:r w:rsidR="00EB7026">
        <w:rPr>
          <w:rFonts w:ascii="Arial" w:eastAsia="Calibri" w:hAnsi="Arial" w:cs="Arial"/>
          <w:b/>
          <w:bCs/>
          <w:u w:val="single"/>
        </w:rPr>
        <w:t xml:space="preserve"> (ESFRI)</w:t>
      </w:r>
    </w:p>
    <w:p w14:paraId="4B5A9B0E" w14:textId="77777777" w:rsidR="00E6549D" w:rsidRDefault="00E6549D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5440BA9E" w14:textId="691B5977" w:rsidR="00875FA8" w:rsidRDefault="00875FA8" w:rsidP="00106780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 roce</w:t>
      </w:r>
      <w:r w:rsidR="00106780" w:rsidRPr="00106780">
        <w:rPr>
          <w:rFonts w:ascii="Arial" w:eastAsia="Calibri" w:hAnsi="Arial" w:cs="Arial"/>
        </w:rPr>
        <w:t xml:space="preserve"> 2002 bylo </w:t>
      </w:r>
      <w:r>
        <w:rPr>
          <w:rFonts w:ascii="Arial" w:eastAsia="Calibri" w:hAnsi="Arial" w:cs="Arial"/>
        </w:rPr>
        <w:t xml:space="preserve">v návaznosti na </w:t>
      </w:r>
      <w:r w:rsidR="00106780" w:rsidRPr="00106780">
        <w:rPr>
          <w:rFonts w:ascii="Arial" w:eastAsia="Calibri" w:hAnsi="Arial" w:cs="Arial"/>
        </w:rPr>
        <w:t>Rozhodnutí Rady pro konkurenceschopnost</w:t>
      </w:r>
      <w:r w:rsidR="0084503D">
        <w:rPr>
          <w:rFonts w:ascii="Arial" w:eastAsia="Calibri" w:hAnsi="Arial" w:cs="Arial"/>
        </w:rPr>
        <w:t xml:space="preserve"> EU</w:t>
      </w:r>
      <w:r>
        <w:rPr>
          <w:rFonts w:ascii="Arial" w:eastAsia="Calibri" w:hAnsi="Arial" w:cs="Arial"/>
        </w:rPr>
        <w:t>,</w:t>
      </w:r>
      <w:r w:rsidR="00106780" w:rsidRPr="00106780">
        <w:rPr>
          <w:rFonts w:ascii="Arial" w:eastAsia="Calibri" w:hAnsi="Arial" w:cs="Arial"/>
        </w:rPr>
        <w:t xml:space="preserve"> zasedající </w:t>
      </w:r>
      <w:r>
        <w:rPr>
          <w:rFonts w:ascii="Arial" w:eastAsia="Calibri" w:hAnsi="Arial" w:cs="Arial"/>
        </w:rPr>
        <w:t xml:space="preserve">v konfiguraci </w:t>
      </w:r>
      <w:r w:rsidR="00106780" w:rsidRPr="00106780">
        <w:rPr>
          <w:rFonts w:ascii="Arial" w:eastAsia="Calibri" w:hAnsi="Arial" w:cs="Arial"/>
        </w:rPr>
        <w:t>ministrů odpovědných za agendu výzkumu</w:t>
      </w:r>
      <w:r>
        <w:rPr>
          <w:rFonts w:ascii="Arial" w:eastAsia="Calibri" w:hAnsi="Arial" w:cs="Arial"/>
        </w:rPr>
        <w:t>,</w:t>
      </w:r>
      <w:r w:rsidR="00106780" w:rsidRPr="00106780">
        <w:rPr>
          <w:rFonts w:ascii="Arial" w:eastAsia="Calibri" w:hAnsi="Arial" w:cs="Arial"/>
        </w:rPr>
        <w:t xml:space="preserve"> ustaveno tzv. </w:t>
      </w:r>
      <w:hyperlink r:id="rId8" w:history="1">
        <w:r w:rsidR="00106780" w:rsidRPr="00EB7026">
          <w:rPr>
            <w:rStyle w:val="Hypertextovodkaz"/>
            <w:rFonts w:ascii="Arial" w:eastAsia="Calibri" w:hAnsi="Arial" w:cs="Arial"/>
            <w:b/>
            <w:color w:val="0070C0"/>
          </w:rPr>
          <w:t>Evropské strategické fórum pro výzkumné infrastruktury</w:t>
        </w:r>
      </w:hyperlink>
      <w:r w:rsidR="00106780" w:rsidRPr="00106780">
        <w:rPr>
          <w:rFonts w:ascii="Arial" w:eastAsia="Calibri" w:hAnsi="Arial" w:cs="Arial"/>
        </w:rPr>
        <w:t xml:space="preserve"> (</w:t>
      </w:r>
      <w:r w:rsidR="00106780" w:rsidRPr="00106780">
        <w:rPr>
          <w:rFonts w:ascii="Arial" w:eastAsia="Calibri" w:hAnsi="Arial" w:cs="Arial"/>
          <w:i/>
        </w:rPr>
        <w:t xml:space="preserve">European </w:t>
      </w:r>
      <w:proofErr w:type="spellStart"/>
      <w:r w:rsidR="00106780" w:rsidRPr="00106780">
        <w:rPr>
          <w:rFonts w:ascii="Arial" w:eastAsia="Calibri" w:hAnsi="Arial" w:cs="Arial"/>
          <w:i/>
        </w:rPr>
        <w:t>Strategy</w:t>
      </w:r>
      <w:proofErr w:type="spellEnd"/>
      <w:r w:rsidR="00106780" w:rsidRPr="00106780">
        <w:rPr>
          <w:rFonts w:ascii="Arial" w:eastAsia="Calibri" w:hAnsi="Arial" w:cs="Arial"/>
          <w:i/>
        </w:rPr>
        <w:t xml:space="preserve"> </w:t>
      </w:r>
      <w:proofErr w:type="spellStart"/>
      <w:r w:rsidR="00106780" w:rsidRPr="00106780">
        <w:rPr>
          <w:rFonts w:ascii="Arial" w:eastAsia="Calibri" w:hAnsi="Arial" w:cs="Arial"/>
          <w:i/>
        </w:rPr>
        <w:t>Forum</w:t>
      </w:r>
      <w:proofErr w:type="spellEnd"/>
      <w:r w:rsidR="00106780" w:rsidRPr="00106780">
        <w:rPr>
          <w:rFonts w:ascii="Arial" w:eastAsia="Calibri" w:hAnsi="Arial" w:cs="Arial"/>
          <w:i/>
        </w:rPr>
        <w:t xml:space="preserve"> on Research </w:t>
      </w:r>
      <w:proofErr w:type="spellStart"/>
      <w:r w:rsidR="00106780" w:rsidRPr="00106780">
        <w:rPr>
          <w:rFonts w:ascii="Arial" w:eastAsia="Calibri" w:hAnsi="Arial" w:cs="Arial"/>
          <w:i/>
        </w:rPr>
        <w:t>Infrastructures</w:t>
      </w:r>
      <w:proofErr w:type="spellEnd"/>
      <w:r w:rsidR="00106780" w:rsidRPr="00106780">
        <w:rPr>
          <w:rFonts w:ascii="Arial" w:eastAsia="Calibri" w:hAnsi="Arial" w:cs="Arial"/>
        </w:rPr>
        <w:t xml:space="preserve">, dále jen „ESFRI“), jež sdružuje </w:t>
      </w:r>
      <w:r w:rsidR="00686C0B">
        <w:rPr>
          <w:rFonts w:ascii="Arial" w:eastAsia="Calibri" w:hAnsi="Arial" w:cs="Arial"/>
        </w:rPr>
        <w:t xml:space="preserve">zástupce </w:t>
      </w:r>
      <w:r w:rsidR="00106780" w:rsidRPr="00106780">
        <w:rPr>
          <w:rFonts w:ascii="Arial" w:eastAsia="Calibri" w:hAnsi="Arial" w:cs="Arial"/>
        </w:rPr>
        <w:t>člensk</w:t>
      </w:r>
      <w:r w:rsidR="00686C0B">
        <w:rPr>
          <w:rFonts w:ascii="Arial" w:eastAsia="Calibri" w:hAnsi="Arial" w:cs="Arial"/>
        </w:rPr>
        <w:t>ých</w:t>
      </w:r>
      <w:r w:rsidR="00106780" w:rsidRPr="00106780">
        <w:rPr>
          <w:rFonts w:ascii="Arial" w:eastAsia="Calibri" w:hAnsi="Arial" w:cs="Arial"/>
        </w:rPr>
        <w:t xml:space="preserve"> stát</w:t>
      </w:r>
      <w:r w:rsidR="00686C0B">
        <w:rPr>
          <w:rFonts w:ascii="Arial" w:eastAsia="Calibri" w:hAnsi="Arial" w:cs="Arial"/>
        </w:rPr>
        <w:t>ů</w:t>
      </w:r>
      <w:r w:rsidR="00106780" w:rsidRPr="00106780">
        <w:rPr>
          <w:rFonts w:ascii="Arial" w:eastAsia="Calibri" w:hAnsi="Arial" w:cs="Arial"/>
        </w:rPr>
        <w:t xml:space="preserve"> EU, asociovan</w:t>
      </w:r>
      <w:r w:rsidR="00686C0B">
        <w:rPr>
          <w:rFonts w:ascii="Arial" w:eastAsia="Calibri" w:hAnsi="Arial" w:cs="Arial"/>
        </w:rPr>
        <w:t>ých</w:t>
      </w:r>
      <w:r w:rsidR="00106780" w:rsidRPr="00106780">
        <w:rPr>
          <w:rFonts w:ascii="Arial" w:eastAsia="Calibri" w:hAnsi="Arial" w:cs="Arial"/>
        </w:rPr>
        <w:t xml:space="preserve"> stát</w:t>
      </w:r>
      <w:r w:rsidR="00686C0B">
        <w:rPr>
          <w:rFonts w:ascii="Arial" w:eastAsia="Calibri" w:hAnsi="Arial" w:cs="Arial"/>
        </w:rPr>
        <w:t>ů</w:t>
      </w:r>
      <w:r w:rsidR="00106780" w:rsidRPr="00106780">
        <w:rPr>
          <w:rFonts w:ascii="Arial" w:eastAsia="Calibri" w:hAnsi="Arial" w:cs="Arial"/>
        </w:rPr>
        <w:t xml:space="preserve"> k rámcovým programům EU pro výzkum a inovace</w:t>
      </w:r>
      <w:r w:rsidR="000A4B7A">
        <w:rPr>
          <w:rFonts w:ascii="Arial" w:eastAsia="Calibri" w:hAnsi="Arial" w:cs="Arial"/>
        </w:rPr>
        <w:t xml:space="preserve"> (aktuálně Horizont</w:t>
      </w:r>
      <w:r>
        <w:rPr>
          <w:rFonts w:ascii="Arial" w:eastAsia="Calibri" w:hAnsi="Arial" w:cs="Arial"/>
        </w:rPr>
        <w:t>u</w:t>
      </w:r>
      <w:r w:rsidR="000A4B7A">
        <w:rPr>
          <w:rFonts w:ascii="Arial" w:eastAsia="Calibri" w:hAnsi="Arial" w:cs="Arial"/>
        </w:rPr>
        <w:t xml:space="preserve"> Evropa) a </w:t>
      </w:r>
      <w:r w:rsidR="000A4B7A" w:rsidRPr="00106780">
        <w:rPr>
          <w:rFonts w:ascii="Arial" w:eastAsia="Calibri" w:hAnsi="Arial" w:cs="Arial"/>
        </w:rPr>
        <w:t>Evropské komise</w:t>
      </w:r>
      <w:r w:rsidR="00106780" w:rsidRPr="00106780">
        <w:rPr>
          <w:rFonts w:ascii="Arial" w:eastAsia="Calibri" w:hAnsi="Arial" w:cs="Arial"/>
        </w:rPr>
        <w:t xml:space="preserve">, a </w:t>
      </w:r>
      <w:r w:rsidR="000A4B7A">
        <w:rPr>
          <w:rFonts w:ascii="Arial" w:eastAsia="Calibri" w:hAnsi="Arial" w:cs="Arial"/>
        </w:rPr>
        <w:t>které</w:t>
      </w:r>
      <w:r w:rsidR="00106780" w:rsidRPr="00106780">
        <w:rPr>
          <w:rFonts w:ascii="Arial" w:eastAsia="Calibri" w:hAnsi="Arial" w:cs="Arial"/>
        </w:rPr>
        <w:t xml:space="preserve"> definuje priorit</w:t>
      </w:r>
      <w:r w:rsidR="0084503D">
        <w:rPr>
          <w:rFonts w:ascii="Arial" w:eastAsia="Calibri" w:hAnsi="Arial" w:cs="Arial"/>
        </w:rPr>
        <w:t>ní projekty</w:t>
      </w:r>
      <w:r w:rsidR="00106780" w:rsidRPr="00106780">
        <w:rPr>
          <w:rFonts w:ascii="Arial" w:eastAsia="Calibri" w:hAnsi="Arial" w:cs="Arial"/>
        </w:rPr>
        <w:t xml:space="preserve"> výzkumných infrastruktur evropského charakteru</w:t>
      </w:r>
      <w:r w:rsidR="00B2138A">
        <w:rPr>
          <w:rFonts w:ascii="Arial" w:eastAsia="Calibri" w:hAnsi="Arial" w:cs="Arial"/>
        </w:rPr>
        <w:t>,</w:t>
      </w:r>
      <w:r w:rsidR="00106780" w:rsidRPr="00106780">
        <w:rPr>
          <w:rFonts w:ascii="Arial" w:eastAsia="Calibri" w:hAnsi="Arial" w:cs="Arial"/>
        </w:rPr>
        <w:t xml:space="preserve"> významu</w:t>
      </w:r>
      <w:r w:rsidR="00B2138A">
        <w:rPr>
          <w:rFonts w:ascii="Arial" w:eastAsia="Calibri" w:hAnsi="Arial" w:cs="Arial"/>
        </w:rPr>
        <w:t xml:space="preserve"> i dopadu</w:t>
      </w:r>
      <w:r w:rsidR="00106780" w:rsidRPr="00106780">
        <w:rPr>
          <w:rFonts w:ascii="Arial" w:eastAsia="Calibri" w:hAnsi="Arial" w:cs="Arial"/>
        </w:rPr>
        <w:t xml:space="preserve">. </w:t>
      </w:r>
    </w:p>
    <w:p w14:paraId="1B0FF93F" w14:textId="77777777" w:rsidR="00875FA8" w:rsidRDefault="00875FA8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4DCD23DE" w14:textId="09B91128" w:rsidR="004F5BC4" w:rsidRDefault="00875FA8" w:rsidP="00106780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 r</w:t>
      </w:r>
      <w:r w:rsidR="000326A6">
        <w:rPr>
          <w:rFonts w:ascii="Arial" w:eastAsia="Calibri" w:hAnsi="Arial" w:cs="Arial"/>
        </w:rPr>
        <w:t>o</w:t>
      </w:r>
      <w:r>
        <w:rPr>
          <w:rFonts w:ascii="Arial" w:eastAsia="Calibri" w:hAnsi="Arial" w:cs="Arial"/>
        </w:rPr>
        <w:t>ce</w:t>
      </w:r>
      <w:r w:rsidR="00106780" w:rsidRPr="00106780">
        <w:rPr>
          <w:rFonts w:ascii="Arial" w:eastAsia="Calibri" w:hAnsi="Arial" w:cs="Arial"/>
        </w:rPr>
        <w:t xml:space="preserve"> 2006 </w:t>
      </w:r>
      <w:r w:rsidR="00686C0B">
        <w:rPr>
          <w:rFonts w:ascii="Arial" w:eastAsia="Calibri" w:hAnsi="Arial" w:cs="Arial"/>
        </w:rPr>
        <w:t>ESFRI z</w:t>
      </w:r>
      <w:r w:rsidR="00106780" w:rsidRPr="00106780">
        <w:rPr>
          <w:rFonts w:ascii="Arial" w:eastAsia="Calibri" w:hAnsi="Arial" w:cs="Arial"/>
        </w:rPr>
        <w:t>pracov</w:t>
      </w:r>
      <w:r w:rsidR="000A4B7A">
        <w:rPr>
          <w:rFonts w:ascii="Arial" w:eastAsia="Calibri" w:hAnsi="Arial" w:cs="Arial"/>
        </w:rPr>
        <w:t>alo</w:t>
      </w:r>
      <w:r w:rsidR="00106780" w:rsidRPr="00106780">
        <w:rPr>
          <w:rFonts w:ascii="Arial" w:eastAsia="Calibri" w:hAnsi="Arial" w:cs="Arial"/>
        </w:rPr>
        <w:t xml:space="preserve"> první </w:t>
      </w:r>
      <w:hyperlink r:id="rId9" w:history="1">
        <w:r w:rsidR="00106780" w:rsidRPr="002C066F">
          <w:rPr>
            <w:rStyle w:val="Hypertextovodkaz"/>
            <w:rFonts w:ascii="Arial" w:eastAsia="Calibri" w:hAnsi="Arial" w:cs="Arial"/>
            <w:b/>
            <w:color w:val="0070C0"/>
          </w:rPr>
          <w:t>Cestovní map</w:t>
        </w:r>
        <w:r w:rsidR="00983EBD">
          <w:rPr>
            <w:rStyle w:val="Hypertextovodkaz"/>
            <w:rFonts w:ascii="Arial" w:eastAsia="Calibri" w:hAnsi="Arial" w:cs="Arial"/>
            <w:b/>
            <w:color w:val="0070C0"/>
          </w:rPr>
          <w:t>u</w:t>
        </w:r>
        <w:r w:rsidR="00106780" w:rsidRPr="002C066F">
          <w:rPr>
            <w:rStyle w:val="Hypertextovodkaz"/>
            <w:rFonts w:ascii="Arial" w:eastAsia="Calibri" w:hAnsi="Arial" w:cs="Arial"/>
            <w:b/>
            <w:color w:val="0070C0"/>
          </w:rPr>
          <w:t xml:space="preserve"> ESFRI</w:t>
        </w:r>
      </w:hyperlink>
      <w:r>
        <w:rPr>
          <w:rFonts w:ascii="Arial" w:eastAsia="Calibri" w:hAnsi="Arial" w:cs="Arial"/>
        </w:rPr>
        <w:t>, přičemž</w:t>
      </w:r>
      <w:r w:rsidR="00106780" w:rsidRPr="00106780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j</w:t>
      </w:r>
      <w:r w:rsidR="00106780" w:rsidRPr="00106780">
        <w:rPr>
          <w:rFonts w:ascii="Arial" w:eastAsia="Calibri" w:hAnsi="Arial" w:cs="Arial"/>
        </w:rPr>
        <w:t>ejí</w:t>
      </w:r>
      <w:r>
        <w:rPr>
          <w:rFonts w:ascii="Arial" w:eastAsia="Calibri" w:hAnsi="Arial" w:cs="Arial"/>
        </w:rPr>
        <w:t xml:space="preserve"> </w:t>
      </w:r>
      <w:r w:rsidR="00106780" w:rsidRPr="00106780">
        <w:rPr>
          <w:rFonts w:ascii="Arial" w:eastAsia="Calibri" w:hAnsi="Arial" w:cs="Arial"/>
        </w:rPr>
        <w:t>aktualizace proběhly v letech 2008, 2010</w:t>
      </w:r>
      <w:r w:rsidR="00686C0B">
        <w:rPr>
          <w:rFonts w:ascii="Arial" w:eastAsia="Calibri" w:hAnsi="Arial" w:cs="Arial"/>
        </w:rPr>
        <w:t>,</w:t>
      </w:r>
      <w:r w:rsidR="00106780" w:rsidRPr="00106780">
        <w:rPr>
          <w:rFonts w:ascii="Arial" w:eastAsia="Calibri" w:hAnsi="Arial" w:cs="Arial"/>
        </w:rPr>
        <w:t xml:space="preserve"> 2016</w:t>
      </w:r>
      <w:r w:rsidR="000A4B7A">
        <w:rPr>
          <w:rFonts w:ascii="Arial" w:eastAsia="Calibri" w:hAnsi="Arial" w:cs="Arial"/>
        </w:rPr>
        <w:t>,</w:t>
      </w:r>
      <w:r w:rsidR="00686C0B">
        <w:rPr>
          <w:rFonts w:ascii="Arial" w:eastAsia="Calibri" w:hAnsi="Arial" w:cs="Arial"/>
        </w:rPr>
        <w:t xml:space="preserve"> 2018</w:t>
      </w:r>
      <w:r w:rsidR="000A4B7A">
        <w:rPr>
          <w:rFonts w:ascii="Arial" w:eastAsia="Calibri" w:hAnsi="Arial" w:cs="Arial"/>
        </w:rPr>
        <w:t xml:space="preserve"> a 2021</w:t>
      </w:r>
      <w:r w:rsidR="00106780" w:rsidRPr="00106780">
        <w:rPr>
          <w:rFonts w:ascii="Arial" w:eastAsia="Calibri" w:hAnsi="Arial" w:cs="Arial"/>
        </w:rPr>
        <w:t>.</w:t>
      </w:r>
      <w:r w:rsidR="00F5446D">
        <w:rPr>
          <w:rFonts w:ascii="Arial" w:eastAsia="Calibri" w:hAnsi="Arial" w:cs="Arial"/>
        </w:rPr>
        <w:t xml:space="preserve"> </w:t>
      </w:r>
      <w:r w:rsidR="00F5446D" w:rsidRPr="00F5446D">
        <w:rPr>
          <w:rFonts w:ascii="Arial" w:eastAsia="Calibri" w:hAnsi="Arial" w:cs="Arial"/>
        </w:rPr>
        <w:t>Cestovní mapa ESFRI zahrnuje evropské výzkumné infrastruktury se status</w:t>
      </w:r>
      <w:r>
        <w:rPr>
          <w:rFonts w:ascii="Arial" w:eastAsia="Calibri" w:hAnsi="Arial" w:cs="Arial"/>
        </w:rPr>
        <w:t>em</w:t>
      </w:r>
      <w:r w:rsidR="00F5446D" w:rsidRPr="00F5446D">
        <w:rPr>
          <w:rFonts w:ascii="Arial" w:eastAsia="Calibri" w:hAnsi="Arial" w:cs="Arial"/>
        </w:rPr>
        <w:t xml:space="preserve"> tzv. ESFRI Project a </w:t>
      </w:r>
      <w:r>
        <w:rPr>
          <w:rFonts w:ascii="Arial" w:eastAsia="Calibri" w:hAnsi="Arial" w:cs="Arial"/>
        </w:rPr>
        <w:t xml:space="preserve">tzv. </w:t>
      </w:r>
      <w:r w:rsidR="00F5446D" w:rsidRPr="00F5446D">
        <w:rPr>
          <w:rFonts w:ascii="Arial" w:eastAsia="Calibri" w:hAnsi="Arial" w:cs="Arial"/>
        </w:rPr>
        <w:t xml:space="preserve">ESFRI </w:t>
      </w:r>
      <w:proofErr w:type="spellStart"/>
      <w:r w:rsidR="00F5446D" w:rsidRPr="00F5446D">
        <w:rPr>
          <w:rFonts w:ascii="Arial" w:eastAsia="Calibri" w:hAnsi="Arial" w:cs="Arial"/>
        </w:rPr>
        <w:t>Landmark</w:t>
      </w:r>
      <w:proofErr w:type="spellEnd"/>
      <w:r w:rsidR="00F5446D" w:rsidRPr="00F5446D">
        <w:rPr>
          <w:rFonts w:ascii="Arial" w:eastAsia="Calibri" w:hAnsi="Arial" w:cs="Arial"/>
        </w:rPr>
        <w:t>. Evropské výzkumné infrastruktury se statusem </w:t>
      </w:r>
      <w:hyperlink r:id="rId10" w:history="1">
        <w:r w:rsidR="00F5446D" w:rsidRPr="002C066F">
          <w:rPr>
            <w:rStyle w:val="Hypertextovodkaz"/>
            <w:rFonts w:ascii="Arial" w:eastAsia="Calibri" w:hAnsi="Arial" w:cs="Arial"/>
            <w:b/>
            <w:bCs/>
            <w:color w:val="0070C0"/>
          </w:rPr>
          <w:t>ESFRI Project</w:t>
        </w:r>
      </w:hyperlink>
      <w:r w:rsidR="00F5446D" w:rsidRPr="00F5446D">
        <w:rPr>
          <w:rFonts w:ascii="Arial" w:eastAsia="Calibri" w:hAnsi="Arial" w:cs="Arial"/>
        </w:rPr>
        <w:t xml:space="preserve"> se nachází na Cestovní mapě ESFRI díky vědecké excelenci svého konceptu a vykazují </w:t>
      </w:r>
      <w:r w:rsidR="00B2138A">
        <w:rPr>
          <w:rFonts w:ascii="Arial" w:eastAsia="Calibri" w:hAnsi="Arial" w:cs="Arial"/>
        </w:rPr>
        <w:t xml:space="preserve">už </w:t>
      </w:r>
      <w:r w:rsidR="00F5446D" w:rsidRPr="00F5446D">
        <w:rPr>
          <w:rFonts w:ascii="Arial" w:eastAsia="Calibri" w:hAnsi="Arial" w:cs="Arial"/>
        </w:rPr>
        <w:t>pokročilý stav příprav</w:t>
      </w:r>
      <w:r w:rsidR="00B2138A">
        <w:rPr>
          <w:rFonts w:ascii="Arial" w:eastAsia="Calibri" w:hAnsi="Arial" w:cs="Arial"/>
        </w:rPr>
        <w:t>y</w:t>
      </w:r>
      <w:r w:rsidR="00F5446D" w:rsidRPr="00F5446D">
        <w:rPr>
          <w:rFonts w:ascii="Arial" w:eastAsia="Calibri" w:hAnsi="Arial" w:cs="Arial"/>
        </w:rPr>
        <w:t xml:space="preserve">, předpokládající </w:t>
      </w:r>
      <w:r w:rsidR="00B2138A">
        <w:rPr>
          <w:rFonts w:ascii="Arial" w:eastAsia="Calibri" w:hAnsi="Arial" w:cs="Arial"/>
        </w:rPr>
        <w:t>zahájení</w:t>
      </w:r>
      <w:r w:rsidR="00F5446D" w:rsidRPr="00F5446D">
        <w:rPr>
          <w:rFonts w:ascii="Arial" w:eastAsia="Calibri" w:hAnsi="Arial" w:cs="Arial"/>
        </w:rPr>
        <w:t xml:space="preserve"> jejich implementační</w:t>
      </w:r>
      <w:r>
        <w:rPr>
          <w:rFonts w:ascii="Arial" w:eastAsia="Calibri" w:hAnsi="Arial" w:cs="Arial"/>
        </w:rPr>
        <w:t xml:space="preserve"> </w:t>
      </w:r>
      <w:r w:rsidR="00F5446D" w:rsidRPr="00F5446D">
        <w:rPr>
          <w:rFonts w:ascii="Arial" w:eastAsia="Calibri" w:hAnsi="Arial" w:cs="Arial"/>
        </w:rPr>
        <w:t>/</w:t>
      </w:r>
      <w:r>
        <w:rPr>
          <w:rFonts w:ascii="Arial" w:eastAsia="Calibri" w:hAnsi="Arial" w:cs="Arial"/>
        </w:rPr>
        <w:t xml:space="preserve"> </w:t>
      </w:r>
      <w:r w:rsidR="00F5446D" w:rsidRPr="00F5446D">
        <w:rPr>
          <w:rFonts w:ascii="Arial" w:eastAsia="Calibri" w:hAnsi="Arial" w:cs="Arial"/>
        </w:rPr>
        <w:t>konstrukční fáze v horizontu do 10 let od zařazení na Cestovní mapu ESFRI. Evropské výzkumné infrastruktury se statusem </w:t>
      </w:r>
      <w:hyperlink r:id="rId11" w:history="1">
        <w:r w:rsidR="00F5446D" w:rsidRPr="002C066F">
          <w:rPr>
            <w:rStyle w:val="Hypertextovodkaz"/>
            <w:rFonts w:ascii="Arial" w:eastAsia="Calibri" w:hAnsi="Arial" w:cs="Arial"/>
            <w:b/>
            <w:bCs/>
            <w:color w:val="0070C0"/>
          </w:rPr>
          <w:t xml:space="preserve">ESFRI </w:t>
        </w:r>
        <w:proofErr w:type="spellStart"/>
        <w:r w:rsidR="00F5446D" w:rsidRPr="002C066F">
          <w:rPr>
            <w:rStyle w:val="Hypertextovodkaz"/>
            <w:rFonts w:ascii="Arial" w:eastAsia="Calibri" w:hAnsi="Arial" w:cs="Arial"/>
            <w:b/>
            <w:bCs/>
            <w:color w:val="0070C0"/>
          </w:rPr>
          <w:t>Landmark</w:t>
        </w:r>
        <w:proofErr w:type="spellEnd"/>
      </w:hyperlink>
      <w:r w:rsidR="00F5446D" w:rsidRPr="00F5446D">
        <w:rPr>
          <w:rFonts w:ascii="Arial" w:eastAsia="Calibri" w:hAnsi="Arial" w:cs="Arial"/>
        </w:rPr>
        <w:t xml:space="preserve"> </w:t>
      </w:r>
      <w:r w:rsidR="00286C61">
        <w:rPr>
          <w:rFonts w:ascii="Arial" w:eastAsia="Calibri" w:hAnsi="Arial" w:cs="Arial"/>
        </w:rPr>
        <w:t xml:space="preserve">poté již buď </w:t>
      </w:r>
      <w:r w:rsidR="00F5446D" w:rsidRPr="00F5446D">
        <w:rPr>
          <w:rFonts w:ascii="Arial" w:eastAsia="Calibri" w:hAnsi="Arial" w:cs="Arial"/>
        </w:rPr>
        <w:t>dokončily svo</w:t>
      </w:r>
      <w:r w:rsidR="00286C61">
        <w:rPr>
          <w:rFonts w:ascii="Arial" w:eastAsia="Calibri" w:hAnsi="Arial" w:cs="Arial"/>
        </w:rPr>
        <w:t>u konstrukční /</w:t>
      </w:r>
      <w:r w:rsidR="00F5446D" w:rsidRPr="00F5446D">
        <w:rPr>
          <w:rFonts w:ascii="Arial" w:eastAsia="Calibri" w:hAnsi="Arial" w:cs="Arial"/>
        </w:rPr>
        <w:t xml:space="preserve"> implementační fázi a vstoupily do provozní / uživatelské fáze, </w:t>
      </w:r>
      <w:r w:rsidR="00286C61">
        <w:rPr>
          <w:rFonts w:ascii="Arial" w:eastAsia="Calibri" w:hAnsi="Arial" w:cs="Arial"/>
        </w:rPr>
        <w:t>a</w:t>
      </w:r>
      <w:r>
        <w:rPr>
          <w:rFonts w:ascii="Arial" w:eastAsia="Calibri" w:hAnsi="Arial" w:cs="Arial"/>
        </w:rPr>
        <w:t>nebo</w:t>
      </w:r>
      <w:r w:rsidR="00F5446D" w:rsidRPr="00F5446D">
        <w:rPr>
          <w:rFonts w:ascii="Arial" w:eastAsia="Calibri" w:hAnsi="Arial" w:cs="Arial"/>
        </w:rPr>
        <w:t xml:space="preserve"> </w:t>
      </w:r>
      <w:r w:rsidR="00286C61">
        <w:rPr>
          <w:rFonts w:ascii="Arial" w:eastAsia="Calibri" w:hAnsi="Arial" w:cs="Arial"/>
        </w:rPr>
        <w:t xml:space="preserve">už </w:t>
      </w:r>
      <w:r w:rsidR="00F5446D" w:rsidRPr="00F5446D">
        <w:rPr>
          <w:rFonts w:ascii="Arial" w:eastAsia="Calibri" w:hAnsi="Arial" w:cs="Arial"/>
        </w:rPr>
        <w:t xml:space="preserve">pokročily ve své </w:t>
      </w:r>
      <w:r w:rsidR="00286C61">
        <w:rPr>
          <w:rFonts w:ascii="Arial" w:eastAsia="Calibri" w:hAnsi="Arial" w:cs="Arial"/>
        </w:rPr>
        <w:t>konstrukční /</w:t>
      </w:r>
      <w:r w:rsidR="00286C61" w:rsidRPr="00F5446D">
        <w:rPr>
          <w:rFonts w:ascii="Arial" w:eastAsia="Calibri" w:hAnsi="Arial" w:cs="Arial"/>
        </w:rPr>
        <w:t xml:space="preserve"> implementační fázi </w:t>
      </w:r>
      <w:r w:rsidR="00F5446D" w:rsidRPr="00F5446D">
        <w:rPr>
          <w:rFonts w:ascii="Arial" w:eastAsia="Calibri" w:hAnsi="Arial" w:cs="Arial"/>
        </w:rPr>
        <w:t>natolik, že mají jasně stanovený časový harmonogram jejího dokončení a uvedení do provozu.</w:t>
      </w:r>
    </w:p>
    <w:p w14:paraId="7AF69A2A" w14:textId="77777777" w:rsidR="004F5BC4" w:rsidRDefault="004F5BC4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7F7166C5" w14:textId="6A0D32F3" w:rsidR="00106780" w:rsidRDefault="00F5446D" w:rsidP="00106780">
      <w:pPr>
        <w:spacing w:after="0" w:line="240" w:lineRule="auto"/>
        <w:jc w:val="both"/>
        <w:rPr>
          <w:rFonts w:ascii="Arial" w:eastAsia="Calibri" w:hAnsi="Arial" w:cs="Arial"/>
        </w:rPr>
      </w:pPr>
      <w:r w:rsidRPr="00F5446D">
        <w:rPr>
          <w:rFonts w:ascii="Arial" w:eastAsia="Calibri" w:hAnsi="Arial" w:cs="Arial"/>
        </w:rPr>
        <w:t xml:space="preserve">Nejnovější aktualizace Cestovní mapy ESFRI z roku 2021 sdružuje </w:t>
      </w:r>
      <w:r w:rsidR="00775892">
        <w:rPr>
          <w:rFonts w:ascii="Arial" w:eastAsia="Calibri" w:hAnsi="Arial" w:cs="Arial"/>
        </w:rPr>
        <w:t xml:space="preserve">již </w:t>
      </w:r>
      <w:r w:rsidRPr="00F5446D">
        <w:rPr>
          <w:rFonts w:ascii="Arial" w:eastAsia="Calibri" w:hAnsi="Arial" w:cs="Arial"/>
        </w:rPr>
        <w:t xml:space="preserve">celkem </w:t>
      </w:r>
      <w:r w:rsidRPr="00775892">
        <w:rPr>
          <w:rFonts w:ascii="Arial" w:eastAsia="Calibri" w:hAnsi="Arial" w:cs="Arial"/>
          <w:b/>
          <w:bCs/>
        </w:rPr>
        <w:t>63 evropských výzkumných infrastruktur</w:t>
      </w:r>
      <w:r w:rsidRPr="00F5446D">
        <w:rPr>
          <w:rFonts w:ascii="Arial" w:eastAsia="Calibri" w:hAnsi="Arial" w:cs="Arial"/>
        </w:rPr>
        <w:t xml:space="preserve">, </w:t>
      </w:r>
      <w:r w:rsidR="004F5BC4">
        <w:rPr>
          <w:rFonts w:ascii="Arial" w:eastAsia="Calibri" w:hAnsi="Arial" w:cs="Arial"/>
        </w:rPr>
        <w:t>z</w:t>
      </w:r>
      <w:r w:rsidR="00286C61">
        <w:rPr>
          <w:rFonts w:ascii="Arial" w:eastAsia="Calibri" w:hAnsi="Arial" w:cs="Arial"/>
        </w:rPr>
        <w:t xml:space="preserve"> nichž </w:t>
      </w:r>
      <w:r w:rsidRPr="00F5446D">
        <w:rPr>
          <w:rFonts w:ascii="Arial" w:eastAsia="Calibri" w:hAnsi="Arial" w:cs="Arial"/>
        </w:rPr>
        <w:t xml:space="preserve">41 spadá do kategorie ESFRI </w:t>
      </w:r>
      <w:proofErr w:type="spellStart"/>
      <w:r w:rsidRPr="00F5446D">
        <w:rPr>
          <w:rFonts w:ascii="Arial" w:eastAsia="Calibri" w:hAnsi="Arial" w:cs="Arial"/>
        </w:rPr>
        <w:t>Landmark</w:t>
      </w:r>
      <w:proofErr w:type="spellEnd"/>
      <w:r w:rsidR="00875FA8">
        <w:rPr>
          <w:rFonts w:ascii="Arial" w:eastAsia="Calibri" w:hAnsi="Arial" w:cs="Arial"/>
        </w:rPr>
        <w:t xml:space="preserve"> </w:t>
      </w:r>
      <w:r w:rsidRPr="00F5446D">
        <w:rPr>
          <w:rFonts w:ascii="Arial" w:eastAsia="Calibri" w:hAnsi="Arial" w:cs="Arial"/>
        </w:rPr>
        <w:t>a 22 do</w:t>
      </w:r>
      <w:r w:rsidR="00286C61">
        <w:rPr>
          <w:rFonts w:ascii="Arial" w:eastAsia="Calibri" w:hAnsi="Arial" w:cs="Arial"/>
        </w:rPr>
        <w:t xml:space="preserve"> kategorie </w:t>
      </w:r>
      <w:r w:rsidRPr="00F5446D">
        <w:rPr>
          <w:rFonts w:ascii="Arial" w:eastAsia="Calibri" w:hAnsi="Arial" w:cs="Arial"/>
        </w:rPr>
        <w:t>ESFRI Project.</w:t>
      </w:r>
      <w:r w:rsidR="00875FA8">
        <w:rPr>
          <w:rFonts w:ascii="Arial" w:eastAsia="Calibri" w:hAnsi="Arial" w:cs="Arial"/>
        </w:rPr>
        <w:t xml:space="preserve"> ČR </w:t>
      </w:r>
      <w:r w:rsidR="00286C61">
        <w:rPr>
          <w:rFonts w:ascii="Arial" w:eastAsia="Calibri" w:hAnsi="Arial" w:cs="Arial"/>
        </w:rPr>
        <w:t>se</w:t>
      </w:r>
      <w:r w:rsidR="00875FA8">
        <w:rPr>
          <w:rFonts w:ascii="Arial" w:eastAsia="Calibri" w:hAnsi="Arial" w:cs="Arial"/>
        </w:rPr>
        <w:t xml:space="preserve"> prostřednictvím velkých výzkumných infrastruktur </w:t>
      </w:r>
      <w:r w:rsidR="00286C61">
        <w:rPr>
          <w:rFonts w:ascii="Arial" w:eastAsia="Calibri" w:hAnsi="Arial" w:cs="Arial"/>
        </w:rPr>
        <w:t xml:space="preserve">aktuálně </w:t>
      </w:r>
      <w:r w:rsidR="00875FA8">
        <w:rPr>
          <w:rFonts w:ascii="Arial" w:eastAsia="Calibri" w:hAnsi="Arial" w:cs="Arial"/>
        </w:rPr>
        <w:t>zap</w:t>
      </w:r>
      <w:r w:rsidR="00286C61">
        <w:rPr>
          <w:rFonts w:ascii="Arial" w:eastAsia="Calibri" w:hAnsi="Arial" w:cs="Arial"/>
        </w:rPr>
        <w:t>ojuje</w:t>
      </w:r>
      <w:r w:rsidR="00875FA8">
        <w:rPr>
          <w:rFonts w:ascii="Arial" w:eastAsia="Calibri" w:hAnsi="Arial" w:cs="Arial"/>
        </w:rPr>
        <w:t xml:space="preserve"> do </w:t>
      </w:r>
      <w:r w:rsidR="00760CDB" w:rsidRPr="00775892">
        <w:rPr>
          <w:rFonts w:ascii="Arial" w:eastAsia="Calibri" w:hAnsi="Arial" w:cs="Arial"/>
          <w:b/>
          <w:bCs/>
        </w:rPr>
        <w:t>26</w:t>
      </w:r>
      <w:r w:rsidR="00875FA8" w:rsidRPr="00775892">
        <w:rPr>
          <w:rFonts w:ascii="Arial" w:eastAsia="Calibri" w:hAnsi="Arial" w:cs="Arial"/>
          <w:b/>
          <w:bCs/>
        </w:rPr>
        <w:t xml:space="preserve"> evropských výzkumných infrastruktur se statusem ESFRI </w:t>
      </w:r>
      <w:proofErr w:type="spellStart"/>
      <w:r w:rsidR="00875FA8" w:rsidRPr="00775892">
        <w:rPr>
          <w:rFonts w:ascii="Arial" w:eastAsia="Calibri" w:hAnsi="Arial" w:cs="Arial"/>
          <w:b/>
          <w:bCs/>
        </w:rPr>
        <w:t>Landmark</w:t>
      </w:r>
      <w:proofErr w:type="spellEnd"/>
      <w:r w:rsidR="00286C61">
        <w:rPr>
          <w:rFonts w:ascii="Arial" w:eastAsia="Calibri" w:hAnsi="Arial" w:cs="Arial"/>
        </w:rPr>
        <w:t xml:space="preserve"> a podílí se rovněž na </w:t>
      </w:r>
      <w:r w:rsidR="00775892">
        <w:rPr>
          <w:rFonts w:ascii="Arial" w:eastAsia="Calibri" w:hAnsi="Arial" w:cs="Arial"/>
        </w:rPr>
        <w:t>implementaci</w:t>
      </w:r>
      <w:r w:rsidR="00286C61">
        <w:rPr>
          <w:rFonts w:ascii="Arial" w:eastAsia="Calibri" w:hAnsi="Arial" w:cs="Arial"/>
        </w:rPr>
        <w:t xml:space="preserve"> </w:t>
      </w:r>
      <w:r w:rsidR="00286C61" w:rsidRPr="00775892">
        <w:rPr>
          <w:rFonts w:ascii="Arial" w:eastAsia="Calibri" w:hAnsi="Arial" w:cs="Arial"/>
          <w:b/>
          <w:bCs/>
        </w:rPr>
        <w:t>7 evropských výzkumných infrastruktur se statusem ESFRI Project</w:t>
      </w:r>
      <w:r w:rsidR="00286C61">
        <w:rPr>
          <w:rFonts w:ascii="Arial" w:eastAsia="Calibri" w:hAnsi="Arial" w:cs="Arial"/>
        </w:rPr>
        <w:t>.</w:t>
      </w:r>
    </w:p>
    <w:p w14:paraId="1A57FD0C" w14:textId="3C936F48" w:rsidR="00E6549D" w:rsidRDefault="00E6549D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643F4496" w14:textId="5CE1A6CC" w:rsidR="00F5446D" w:rsidRPr="00CF414B" w:rsidRDefault="00E6549D" w:rsidP="00F5446D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Postavení ČR je tak díky politice velkých výzkumných infrastruktur rozvíjené MŠMT významné, což potvrzuje </w:t>
      </w:r>
      <w:r w:rsidR="00286C61">
        <w:rPr>
          <w:rFonts w:ascii="Arial" w:eastAsia="Calibri" w:hAnsi="Arial" w:cs="Arial"/>
        </w:rPr>
        <w:t>mj.</w:t>
      </w:r>
      <w:r>
        <w:rPr>
          <w:rFonts w:ascii="Arial" w:eastAsia="Calibri" w:hAnsi="Arial" w:cs="Arial"/>
        </w:rPr>
        <w:t xml:space="preserve"> skutečnost, že </w:t>
      </w:r>
      <w:r w:rsidR="00286C61">
        <w:rPr>
          <w:rFonts w:ascii="Arial" w:eastAsia="Calibri" w:hAnsi="Arial" w:cs="Arial"/>
        </w:rPr>
        <w:t>pro léta</w:t>
      </w:r>
      <w:r w:rsidR="00F5446D" w:rsidRPr="00F5446D">
        <w:rPr>
          <w:rFonts w:ascii="Arial" w:eastAsia="Calibri" w:hAnsi="Arial" w:cs="Arial"/>
        </w:rPr>
        <w:t xml:space="preserve"> 2019</w:t>
      </w:r>
      <w:r w:rsidR="002C066F">
        <w:rPr>
          <w:rFonts w:ascii="Arial" w:eastAsia="Calibri" w:hAnsi="Arial" w:cs="Arial"/>
        </w:rPr>
        <w:t>–</w:t>
      </w:r>
      <w:r w:rsidR="00F5446D" w:rsidRPr="00F5446D">
        <w:rPr>
          <w:rFonts w:ascii="Arial" w:eastAsia="Calibri" w:hAnsi="Arial" w:cs="Arial"/>
        </w:rPr>
        <w:t>2021 byl</w:t>
      </w:r>
      <w:r w:rsidR="00286C61">
        <w:rPr>
          <w:rFonts w:ascii="Arial" w:eastAsia="Calibri" w:hAnsi="Arial" w:cs="Arial"/>
        </w:rPr>
        <w:t xml:space="preserve"> zvolen</w:t>
      </w:r>
      <w:r w:rsidR="00F5446D" w:rsidRPr="00F5446D">
        <w:rPr>
          <w:rFonts w:ascii="Arial" w:eastAsia="Calibri" w:hAnsi="Arial" w:cs="Arial"/>
        </w:rPr>
        <w:t xml:space="preserve"> </w:t>
      </w:r>
      <w:hyperlink r:id="rId12" w:history="1">
        <w:r w:rsidR="00F5446D" w:rsidRPr="00F5446D">
          <w:rPr>
            <w:rStyle w:val="Hypertextovodkaz"/>
            <w:rFonts w:ascii="Arial" w:eastAsia="Calibri" w:hAnsi="Arial" w:cs="Arial"/>
            <w:b/>
            <w:bCs/>
            <w:color w:val="0070C0"/>
          </w:rPr>
          <w:t>předsedou ESFRI RNDr. Jan Hrušák, CSc.</w:t>
        </w:r>
      </w:hyperlink>
      <w:r w:rsidR="00F5446D" w:rsidRPr="00F5446D">
        <w:rPr>
          <w:rFonts w:ascii="Arial" w:eastAsia="Calibri" w:hAnsi="Arial" w:cs="Arial"/>
        </w:rPr>
        <w:t>, zmocněnec MŠMT pro výzkumné infrastruktury a seniorní výzkumný pracovník působící v Ústavu fyzikální chemie J. Heyrovského AV ČR, v.</w:t>
      </w:r>
      <w:r w:rsidR="00775892">
        <w:rPr>
          <w:rFonts w:ascii="Arial" w:eastAsia="Calibri" w:hAnsi="Arial" w:cs="Arial"/>
        </w:rPr>
        <w:t xml:space="preserve"> </w:t>
      </w:r>
      <w:r w:rsidR="00F5446D" w:rsidRPr="00F5446D">
        <w:rPr>
          <w:rFonts w:ascii="Arial" w:eastAsia="Calibri" w:hAnsi="Arial" w:cs="Arial"/>
        </w:rPr>
        <w:t>v.</w:t>
      </w:r>
      <w:r w:rsidR="00775892">
        <w:rPr>
          <w:rFonts w:ascii="Arial" w:eastAsia="Calibri" w:hAnsi="Arial" w:cs="Arial"/>
        </w:rPr>
        <w:t xml:space="preserve"> </w:t>
      </w:r>
      <w:r w:rsidR="00F5446D" w:rsidRPr="00F5446D">
        <w:rPr>
          <w:rFonts w:ascii="Arial" w:eastAsia="Calibri" w:hAnsi="Arial" w:cs="Arial"/>
        </w:rPr>
        <w:t>i.</w:t>
      </w:r>
      <w:r w:rsidR="00F5446D" w:rsidRPr="00F5446D">
        <w:rPr>
          <w:rFonts w:ascii="Arial" w:eastAsia="Calibri" w:hAnsi="Arial" w:cs="Arial"/>
          <w:b/>
          <w:bCs/>
        </w:rPr>
        <w:t xml:space="preserve"> </w:t>
      </w:r>
      <w:r w:rsidR="00F5446D" w:rsidRPr="00F5446D">
        <w:rPr>
          <w:rFonts w:ascii="Arial" w:eastAsia="Calibri" w:hAnsi="Arial" w:cs="Arial"/>
        </w:rPr>
        <w:t xml:space="preserve">Za jeho předsednictví </w:t>
      </w:r>
      <w:r w:rsidR="00286C61">
        <w:rPr>
          <w:rFonts w:ascii="Arial" w:eastAsia="Calibri" w:hAnsi="Arial" w:cs="Arial"/>
        </w:rPr>
        <w:t xml:space="preserve">přijalo </w:t>
      </w:r>
      <w:r w:rsidR="00F5446D" w:rsidRPr="00F5446D">
        <w:rPr>
          <w:rFonts w:ascii="Arial" w:eastAsia="Calibri" w:hAnsi="Arial" w:cs="Arial"/>
        </w:rPr>
        <w:t xml:space="preserve">ESFRI </w:t>
      </w:r>
      <w:r>
        <w:rPr>
          <w:rFonts w:ascii="Arial" w:eastAsia="Calibri" w:hAnsi="Arial" w:cs="Arial"/>
        </w:rPr>
        <w:t xml:space="preserve">kromě nejnovější aktualizace Cestovní mapy ESFRI </w:t>
      </w:r>
      <w:r w:rsidR="00AE0C26">
        <w:rPr>
          <w:rFonts w:ascii="Arial" w:eastAsia="Calibri" w:hAnsi="Arial" w:cs="Arial"/>
        </w:rPr>
        <w:t>také</w:t>
      </w:r>
      <w:r>
        <w:rPr>
          <w:rFonts w:ascii="Arial" w:eastAsia="Calibri" w:hAnsi="Arial" w:cs="Arial"/>
        </w:rPr>
        <w:t xml:space="preserve"> </w:t>
      </w:r>
      <w:r w:rsidR="00F5446D" w:rsidRPr="00F5446D">
        <w:rPr>
          <w:rFonts w:ascii="Arial" w:eastAsia="Calibri" w:hAnsi="Arial" w:cs="Arial"/>
        </w:rPr>
        <w:t>strategii rozvoje evropského výzkumně-infrastrukturního ekosystém</w:t>
      </w:r>
      <w:r w:rsidR="00AE0C26">
        <w:rPr>
          <w:rFonts w:ascii="Arial" w:eastAsia="Calibri" w:hAnsi="Arial" w:cs="Arial"/>
        </w:rPr>
        <w:t xml:space="preserve">u </w:t>
      </w:r>
      <w:hyperlink r:id="rId13" w:history="1">
        <w:r w:rsidR="00F5446D" w:rsidRPr="00CF414B">
          <w:rPr>
            <w:rStyle w:val="Hypertextovodkaz"/>
            <w:rFonts w:ascii="Arial" w:eastAsia="Calibri" w:hAnsi="Arial" w:cs="Arial"/>
            <w:b/>
            <w:bCs/>
            <w:color w:val="0070C0"/>
          </w:rPr>
          <w:t xml:space="preserve">ESFRI </w:t>
        </w:r>
        <w:proofErr w:type="spellStart"/>
        <w:r w:rsidR="00F5446D" w:rsidRPr="00CF414B">
          <w:rPr>
            <w:rStyle w:val="Hypertextovodkaz"/>
            <w:rFonts w:ascii="Arial" w:eastAsia="Calibri" w:hAnsi="Arial" w:cs="Arial"/>
            <w:b/>
            <w:bCs/>
            <w:color w:val="0070C0"/>
          </w:rPr>
          <w:t>White</w:t>
        </w:r>
        <w:proofErr w:type="spellEnd"/>
        <w:r w:rsidR="00F5446D" w:rsidRPr="00CF414B">
          <w:rPr>
            <w:rStyle w:val="Hypertextovodkaz"/>
            <w:rFonts w:ascii="Arial" w:eastAsia="Calibri" w:hAnsi="Arial" w:cs="Arial"/>
            <w:b/>
            <w:bCs/>
            <w:color w:val="0070C0"/>
          </w:rPr>
          <w:t xml:space="preserve"> </w:t>
        </w:r>
        <w:proofErr w:type="spellStart"/>
        <w:r w:rsidR="00F5446D" w:rsidRPr="00CF414B">
          <w:rPr>
            <w:rStyle w:val="Hypertextovodkaz"/>
            <w:rFonts w:ascii="Arial" w:eastAsia="Calibri" w:hAnsi="Arial" w:cs="Arial"/>
            <w:b/>
            <w:bCs/>
            <w:color w:val="0070C0"/>
          </w:rPr>
          <w:t>Paper</w:t>
        </w:r>
        <w:proofErr w:type="spellEnd"/>
        <w:r w:rsidR="00F5446D" w:rsidRPr="00CF414B">
          <w:rPr>
            <w:rStyle w:val="Hypertextovodkaz"/>
            <w:rFonts w:ascii="Arial" w:eastAsia="Calibri" w:hAnsi="Arial" w:cs="Arial"/>
            <w:b/>
            <w:bCs/>
            <w:color w:val="0070C0"/>
          </w:rPr>
          <w:t xml:space="preserve"> 2020</w:t>
        </w:r>
      </w:hyperlink>
      <w:r w:rsidR="00F5446D" w:rsidRPr="00CF414B">
        <w:rPr>
          <w:rFonts w:ascii="Arial" w:eastAsia="Calibri" w:hAnsi="Arial" w:cs="Arial"/>
        </w:rPr>
        <w:t xml:space="preserve">: </w:t>
      </w:r>
      <w:proofErr w:type="spellStart"/>
      <w:r w:rsidR="00F5446D" w:rsidRPr="00CF414B">
        <w:rPr>
          <w:rFonts w:ascii="Arial" w:eastAsia="Calibri" w:hAnsi="Arial" w:cs="Arial"/>
        </w:rPr>
        <w:t>Making</w:t>
      </w:r>
      <w:proofErr w:type="spellEnd"/>
      <w:r w:rsidR="00F5446D" w:rsidRPr="00CF414B">
        <w:rPr>
          <w:rFonts w:ascii="Arial" w:eastAsia="Calibri" w:hAnsi="Arial" w:cs="Arial"/>
        </w:rPr>
        <w:t xml:space="preserve"> Science </w:t>
      </w:r>
      <w:proofErr w:type="spellStart"/>
      <w:r w:rsidR="00F5446D" w:rsidRPr="00CF414B">
        <w:rPr>
          <w:rFonts w:ascii="Arial" w:eastAsia="Calibri" w:hAnsi="Arial" w:cs="Arial"/>
        </w:rPr>
        <w:t>Happen</w:t>
      </w:r>
      <w:proofErr w:type="spellEnd"/>
      <w:r w:rsidR="00F5446D" w:rsidRPr="00CF414B">
        <w:rPr>
          <w:rFonts w:ascii="Arial" w:eastAsia="Calibri" w:hAnsi="Arial" w:cs="Arial"/>
        </w:rPr>
        <w:t xml:space="preserve"> – A New </w:t>
      </w:r>
      <w:proofErr w:type="spellStart"/>
      <w:r w:rsidR="00F5446D" w:rsidRPr="00CF414B">
        <w:rPr>
          <w:rFonts w:ascii="Arial" w:eastAsia="Calibri" w:hAnsi="Arial" w:cs="Arial"/>
        </w:rPr>
        <w:t>Ambition</w:t>
      </w:r>
      <w:proofErr w:type="spellEnd"/>
      <w:r w:rsidR="00F5446D" w:rsidRPr="00CF414B">
        <w:rPr>
          <w:rFonts w:ascii="Arial" w:eastAsia="Calibri" w:hAnsi="Arial" w:cs="Arial"/>
        </w:rPr>
        <w:t xml:space="preserve"> </w:t>
      </w:r>
      <w:proofErr w:type="spellStart"/>
      <w:r w:rsidR="00F5446D" w:rsidRPr="00CF414B">
        <w:rPr>
          <w:rFonts w:ascii="Arial" w:eastAsia="Calibri" w:hAnsi="Arial" w:cs="Arial"/>
        </w:rPr>
        <w:t>for</w:t>
      </w:r>
      <w:proofErr w:type="spellEnd"/>
      <w:r w:rsidR="00F5446D" w:rsidRPr="00CF414B">
        <w:rPr>
          <w:rFonts w:ascii="Arial" w:eastAsia="Calibri" w:hAnsi="Arial" w:cs="Arial"/>
        </w:rPr>
        <w:t xml:space="preserve"> Research </w:t>
      </w:r>
      <w:proofErr w:type="spellStart"/>
      <w:r w:rsidR="00F5446D" w:rsidRPr="00CF414B">
        <w:rPr>
          <w:rFonts w:ascii="Arial" w:eastAsia="Calibri" w:hAnsi="Arial" w:cs="Arial"/>
        </w:rPr>
        <w:t>Infrastructures</w:t>
      </w:r>
      <w:proofErr w:type="spellEnd"/>
      <w:r w:rsidR="00F5446D" w:rsidRPr="00CF414B">
        <w:rPr>
          <w:rFonts w:ascii="Arial" w:eastAsia="Calibri" w:hAnsi="Arial" w:cs="Arial"/>
        </w:rPr>
        <w:t xml:space="preserve"> in </w:t>
      </w:r>
      <w:proofErr w:type="spellStart"/>
      <w:r w:rsidR="00F5446D" w:rsidRPr="00CF414B">
        <w:rPr>
          <w:rFonts w:ascii="Arial" w:eastAsia="Calibri" w:hAnsi="Arial" w:cs="Arial"/>
        </w:rPr>
        <w:t>the</w:t>
      </w:r>
      <w:proofErr w:type="spellEnd"/>
      <w:r w:rsidR="00F5446D" w:rsidRPr="00CF414B">
        <w:rPr>
          <w:rFonts w:ascii="Arial" w:eastAsia="Calibri" w:hAnsi="Arial" w:cs="Arial"/>
        </w:rPr>
        <w:t xml:space="preserve"> European Research Area.</w:t>
      </w:r>
    </w:p>
    <w:p w14:paraId="5FE5ADFE" w14:textId="59954B65" w:rsidR="00EB7026" w:rsidRPr="00EB7026" w:rsidRDefault="00EB7026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lastRenderedPageBreak/>
        <w:t>Konsorcium e</w:t>
      </w:r>
      <w:r w:rsidRPr="00EB7026">
        <w:rPr>
          <w:rFonts w:ascii="Arial" w:eastAsia="Calibri" w:hAnsi="Arial" w:cs="Arial"/>
          <w:b/>
          <w:bCs/>
          <w:u w:val="single"/>
        </w:rPr>
        <w:t>vropské výzkumné infrastruktury</w:t>
      </w:r>
      <w:r>
        <w:rPr>
          <w:rFonts w:ascii="Arial" w:eastAsia="Calibri" w:hAnsi="Arial" w:cs="Arial"/>
          <w:b/>
          <w:bCs/>
          <w:u w:val="single"/>
        </w:rPr>
        <w:t xml:space="preserve"> (ERIC)</w:t>
      </w:r>
    </w:p>
    <w:p w14:paraId="118B398B" w14:textId="77777777" w:rsidR="00EB7026" w:rsidRPr="00106780" w:rsidRDefault="00EB7026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176E3AAB" w14:textId="262A76EA" w:rsidR="00E6549D" w:rsidRDefault="00106780" w:rsidP="00106780">
      <w:pPr>
        <w:spacing w:after="0" w:line="240" w:lineRule="auto"/>
        <w:jc w:val="both"/>
        <w:rPr>
          <w:rFonts w:ascii="Arial" w:eastAsia="Calibri" w:hAnsi="Arial" w:cs="Arial"/>
        </w:rPr>
      </w:pPr>
      <w:r w:rsidRPr="00106780">
        <w:rPr>
          <w:rFonts w:ascii="Arial" w:eastAsia="Calibri" w:hAnsi="Arial" w:cs="Arial"/>
        </w:rPr>
        <w:t>V </w:t>
      </w:r>
      <w:r w:rsidR="00686C0B">
        <w:rPr>
          <w:rFonts w:ascii="Arial" w:eastAsia="Calibri" w:hAnsi="Arial" w:cs="Arial"/>
        </w:rPr>
        <w:t>legislativní</w:t>
      </w:r>
      <w:r w:rsidRPr="00106780">
        <w:rPr>
          <w:rFonts w:ascii="Arial" w:eastAsia="Calibri" w:hAnsi="Arial" w:cs="Arial"/>
        </w:rPr>
        <w:t xml:space="preserve"> rovině přinesl zvýšený </w:t>
      </w:r>
      <w:r w:rsidR="00775892">
        <w:rPr>
          <w:rFonts w:ascii="Arial" w:eastAsia="Calibri" w:hAnsi="Arial" w:cs="Arial"/>
        </w:rPr>
        <w:t>akcent</w:t>
      </w:r>
      <w:r w:rsidRPr="00106780">
        <w:rPr>
          <w:rFonts w:ascii="Arial" w:eastAsia="Calibri" w:hAnsi="Arial" w:cs="Arial"/>
        </w:rPr>
        <w:t xml:space="preserve"> kladený na problematiku výzkumných infrastruktur evropské relevance vytvoření </w:t>
      </w:r>
      <w:r w:rsidR="000A4B7A">
        <w:rPr>
          <w:rFonts w:ascii="Arial" w:eastAsia="Calibri" w:hAnsi="Arial" w:cs="Arial"/>
        </w:rPr>
        <w:t>specifického</w:t>
      </w:r>
      <w:r w:rsidRPr="00106780">
        <w:rPr>
          <w:rFonts w:ascii="Arial" w:eastAsia="Calibri" w:hAnsi="Arial" w:cs="Arial"/>
        </w:rPr>
        <w:t xml:space="preserve"> právního rámce EU</w:t>
      </w:r>
      <w:r w:rsidR="00AE0C26">
        <w:rPr>
          <w:rFonts w:ascii="Arial" w:eastAsia="Calibri" w:hAnsi="Arial" w:cs="Arial"/>
        </w:rPr>
        <w:t>, který</w:t>
      </w:r>
      <w:r w:rsidRPr="00106780">
        <w:rPr>
          <w:rFonts w:ascii="Arial" w:eastAsia="Calibri" w:hAnsi="Arial" w:cs="Arial"/>
        </w:rPr>
        <w:t xml:space="preserve"> vymezuj</w:t>
      </w:r>
      <w:r w:rsidR="00AE0C26">
        <w:rPr>
          <w:rFonts w:ascii="Arial" w:eastAsia="Calibri" w:hAnsi="Arial" w:cs="Arial"/>
        </w:rPr>
        <w:t>e</w:t>
      </w:r>
      <w:r w:rsidRPr="00106780">
        <w:rPr>
          <w:rFonts w:ascii="Arial" w:eastAsia="Calibri" w:hAnsi="Arial" w:cs="Arial"/>
        </w:rPr>
        <w:t xml:space="preserve"> principy pro řízení </w:t>
      </w:r>
      <w:r w:rsidR="00686C0B">
        <w:rPr>
          <w:rFonts w:ascii="Arial" w:eastAsia="Calibri" w:hAnsi="Arial" w:cs="Arial"/>
        </w:rPr>
        <w:t xml:space="preserve">činností </w:t>
      </w:r>
      <w:r w:rsidRPr="00106780">
        <w:rPr>
          <w:rFonts w:ascii="Arial" w:eastAsia="Calibri" w:hAnsi="Arial" w:cs="Arial"/>
        </w:rPr>
        <w:t>evropských výzkumných infrastruktur. Od roku 2009 umožňuje t</w:t>
      </w:r>
      <w:r w:rsidR="00686C0B">
        <w:rPr>
          <w:rFonts w:ascii="Arial" w:eastAsia="Calibri" w:hAnsi="Arial" w:cs="Arial"/>
        </w:rPr>
        <w:t>ento nový druh právnické osoby,</w:t>
      </w:r>
      <w:r w:rsidR="000A4B7A">
        <w:rPr>
          <w:rFonts w:ascii="Arial" w:eastAsia="Calibri" w:hAnsi="Arial" w:cs="Arial"/>
        </w:rPr>
        <w:t xml:space="preserve"> tzv.</w:t>
      </w:r>
      <w:r w:rsidR="00686C0B">
        <w:rPr>
          <w:rFonts w:ascii="Arial" w:eastAsia="Calibri" w:hAnsi="Arial" w:cs="Arial"/>
        </w:rPr>
        <w:t xml:space="preserve"> </w:t>
      </w:r>
      <w:hyperlink r:id="rId14" w:history="1">
        <w:r w:rsidR="000A4B7A" w:rsidRPr="002C066F">
          <w:rPr>
            <w:rStyle w:val="Hypertextovodkaz"/>
            <w:rFonts w:ascii="Arial" w:eastAsia="Calibri" w:hAnsi="Arial" w:cs="Arial"/>
            <w:b/>
            <w:color w:val="0070C0"/>
          </w:rPr>
          <w:t>k</w:t>
        </w:r>
        <w:r w:rsidRPr="002C066F">
          <w:rPr>
            <w:rStyle w:val="Hypertextovodkaz"/>
            <w:rFonts w:ascii="Arial" w:eastAsia="Calibri" w:hAnsi="Arial" w:cs="Arial"/>
            <w:b/>
            <w:color w:val="0070C0"/>
          </w:rPr>
          <w:t>onsorcium evropské výzkumné infrastruktury</w:t>
        </w:r>
      </w:hyperlink>
      <w:r w:rsidRPr="00106780">
        <w:rPr>
          <w:rFonts w:ascii="Arial" w:eastAsia="Calibri" w:hAnsi="Arial" w:cs="Arial"/>
          <w:b/>
        </w:rPr>
        <w:t xml:space="preserve"> </w:t>
      </w:r>
      <w:r w:rsidRPr="00106780">
        <w:rPr>
          <w:rFonts w:ascii="Arial" w:eastAsia="Calibri" w:hAnsi="Arial" w:cs="Arial"/>
        </w:rPr>
        <w:t>(</w:t>
      </w:r>
      <w:r w:rsidRPr="00106780">
        <w:rPr>
          <w:rFonts w:ascii="Arial" w:eastAsia="Calibri" w:hAnsi="Arial" w:cs="Arial"/>
          <w:i/>
        </w:rPr>
        <w:t xml:space="preserve">European Research </w:t>
      </w:r>
      <w:proofErr w:type="spellStart"/>
      <w:r w:rsidRPr="00106780">
        <w:rPr>
          <w:rFonts w:ascii="Arial" w:eastAsia="Calibri" w:hAnsi="Arial" w:cs="Arial"/>
          <w:i/>
        </w:rPr>
        <w:t>Infrastructure</w:t>
      </w:r>
      <w:proofErr w:type="spellEnd"/>
      <w:r w:rsidRPr="00106780">
        <w:rPr>
          <w:rFonts w:ascii="Arial" w:eastAsia="Calibri" w:hAnsi="Arial" w:cs="Arial"/>
          <w:i/>
        </w:rPr>
        <w:t xml:space="preserve"> </w:t>
      </w:r>
      <w:proofErr w:type="spellStart"/>
      <w:r w:rsidRPr="00106780">
        <w:rPr>
          <w:rFonts w:ascii="Arial" w:eastAsia="Calibri" w:hAnsi="Arial" w:cs="Arial"/>
          <w:i/>
        </w:rPr>
        <w:t>Consortium</w:t>
      </w:r>
      <w:proofErr w:type="spellEnd"/>
      <w:r w:rsidRPr="00106780">
        <w:rPr>
          <w:rFonts w:ascii="Arial" w:eastAsia="Calibri" w:hAnsi="Arial" w:cs="Arial"/>
        </w:rPr>
        <w:t>, dále jen „ERIC“), řízení evropských výzkumných infrastruktur</w:t>
      </w:r>
      <w:r w:rsidR="00AE0C26">
        <w:rPr>
          <w:rFonts w:ascii="Arial" w:eastAsia="Calibri" w:hAnsi="Arial" w:cs="Arial"/>
        </w:rPr>
        <w:t xml:space="preserve"> jako samostatných </w:t>
      </w:r>
      <w:r w:rsidR="00E77885">
        <w:rPr>
          <w:rFonts w:ascii="Arial" w:eastAsia="Calibri" w:hAnsi="Arial" w:cs="Arial"/>
        </w:rPr>
        <w:t>entit</w:t>
      </w:r>
      <w:r w:rsidR="00A53A9A">
        <w:rPr>
          <w:rFonts w:ascii="Arial" w:eastAsia="Calibri" w:hAnsi="Arial" w:cs="Arial"/>
        </w:rPr>
        <w:t xml:space="preserve"> s vlastní právní subjektivitou</w:t>
      </w:r>
      <w:r w:rsidR="00E6549D">
        <w:rPr>
          <w:rFonts w:ascii="Arial" w:eastAsia="Calibri" w:hAnsi="Arial" w:cs="Arial"/>
        </w:rPr>
        <w:t>.</w:t>
      </w:r>
    </w:p>
    <w:p w14:paraId="252EDFD1" w14:textId="124D1D4F" w:rsidR="00E6549D" w:rsidRDefault="00E6549D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50ED733E" w14:textId="21D73363" w:rsidR="00E6549D" w:rsidRPr="00E12B73" w:rsidRDefault="00E6549D" w:rsidP="00E6549D">
      <w:pPr>
        <w:spacing w:after="0" w:line="240" w:lineRule="auto"/>
        <w:jc w:val="both"/>
        <w:rPr>
          <w:rFonts w:ascii="Arial" w:eastAsia="Calibri" w:hAnsi="Arial" w:cs="Arial"/>
        </w:rPr>
      </w:pPr>
      <w:r w:rsidRPr="00E6549D">
        <w:rPr>
          <w:rFonts w:ascii="Arial" w:eastAsia="Calibri" w:hAnsi="Arial" w:cs="Arial"/>
        </w:rPr>
        <w:t xml:space="preserve">ERIC je </w:t>
      </w:r>
      <w:r w:rsidR="00EB7026">
        <w:rPr>
          <w:rFonts w:ascii="Arial" w:eastAsia="Calibri" w:hAnsi="Arial" w:cs="Arial"/>
        </w:rPr>
        <w:t xml:space="preserve">určitou </w:t>
      </w:r>
      <w:r w:rsidRPr="00E6549D">
        <w:rPr>
          <w:rFonts w:ascii="Arial" w:eastAsia="Calibri" w:hAnsi="Arial" w:cs="Arial"/>
        </w:rPr>
        <w:t xml:space="preserve">obdobou mezinárodní organizace výzkumu, vývoje a inovací </w:t>
      </w:r>
      <w:r w:rsidR="009651B9">
        <w:rPr>
          <w:rFonts w:ascii="Arial" w:eastAsia="Calibri" w:hAnsi="Arial" w:cs="Arial"/>
        </w:rPr>
        <w:t xml:space="preserve">(dále jen „VaVaI“) </w:t>
      </w:r>
      <w:r w:rsidRPr="00E6549D">
        <w:rPr>
          <w:rFonts w:ascii="Arial" w:eastAsia="Calibri" w:hAnsi="Arial" w:cs="Arial"/>
        </w:rPr>
        <w:t xml:space="preserve">ustavované podle mezinárodního práva veřejného. Konsorcium ERIC </w:t>
      </w:r>
      <w:r w:rsidR="00EB7026">
        <w:rPr>
          <w:rFonts w:ascii="Arial" w:eastAsia="Calibri" w:hAnsi="Arial" w:cs="Arial"/>
        </w:rPr>
        <w:t xml:space="preserve">však </w:t>
      </w:r>
      <w:r w:rsidRPr="00E6549D">
        <w:rPr>
          <w:rFonts w:ascii="Arial" w:eastAsia="Calibri" w:hAnsi="Arial" w:cs="Arial"/>
        </w:rPr>
        <w:t xml:space="preserve">zakládá Evropská komise na základě právního rámce EU a na žádost alespoň 3 zakladatelských států. Stěžejní z výhod konsorcia ERIC spočívá v tom, že jeho ustavení je procedurálně </w:t>
      </w:r>
      <w:r w:rsidR="009651B9">
        <w:rPr>
          <w:rFonts w:ascii="Arial" w:eastAsia="Calibri" w:hAnsi="Arial" w:cs="Arial"/>
        </w:rPr>
        <w:t xml:space="preserve">mnohem </w:t>
      </w:r>
      <w:r w:rsidRPr="00E6549D">
        <w:rPr>
          <w:rFonts w:ascii="Arial" w:eastAsia="Calibri" w:hAnsi="Arial" w:cs="Arial"/>
        </w:rPr>
        <w:t xml:space="preserve">snadnější než v případě mezinárodní organizace </w:t>
      </w:r>
      <w:r w:rsidR="00AE0C26">
        <w:rPr>
          <w:rFonts w:ascii="Arial" w:eastAsia="Calibri" w:hAnsi="Arial" w:cs="Arial"/>
        </w:rPr>
        <w:t>zřizované</w:t>
      </w:r>
      <w:r w:rsidRPr="00E6549D">
        <w:rPr>
          <w:rFonts w:ascii="Arial" w:eastAsia="Calibri" w:hAnsi="Arial" w:cs="Arial"/>
        </w:rPr>
        <w:t xml:space="preserve"> </w:t>
      </w:r>
      <w:r w:rsidR="009651B9">
        <w:rPr>
          <w:rFonts w:ascii="Arial" w:eastAsia="Calibri" w:hAnsi="Arial" w:cs="Arial"/>
        </w:rPr>
        <w:t>na základě</w:t>
      </w:r>
      <w:r w:rsidRPr="00E6549D">
        <w:rPr>
          <w:rFonts w:ascii="Arial" w:eastAsia="Calibri" w:hAnsi="Arial" w:cs="Arial"/>
        </w:rPr>
        <w:t xml:space="preserve"> mezinárodního práva veřejného.</w:t>
      </w:r>
      <w:r w:rsidR="00E12B73">
        <w:rPr>
          <w:rFonts w:ascii="Arial" w:eastAsia="Calibri" w:hAnsi="Arial" w:cs="Arial"/>
        </w:rPr>
        <w:t xml:space="preserve"> </w:t>
      </w:r>
      <w:r w:rsidRPr="00E6549D">
        <w:rPr>
          <w:rFonts w:ascii="Arial" w:eastAsia="Calibri" w:hAnsi="Arial" w:cs="Arial"/>
        </w:rPr>
        <w:t xml:space="preserve">Konsorcia ERIC mohou stejně jako mezinárodní organizace využívat </w:t>
      </w:r>
      <w:r w:rsidR="009651B9">
        <w:rPr>
          <w:rFonts w:ascii="Arial" w:eastAsia="Calibri" w:hAnsi="Arial" w:cs="Arial"/>
        </w:rPr>
        <w:t>i</w:t>
      </w:r>
      <w:r w:rsidR="00EB7026">
        <w:rPr>
          <w:rFonts w:ascii="Arial" w:eastAsia="Calibri" w:hAnsi="Arial" w:cs="Arial"/>
        </w:rPr>
        <w:t xml:space="preserve"> </w:t>
      </w:r>
      <w:r w:rsidRPr="00E6549D">
        <w:rPr>
          <w:rFonts w:ascii="Arial" w:eastAsia="Calibri" w:hAnsi="Arial" w:cs="Arial"/>
        </w:rPr>
        <w:t xml:space="preserve">některých finančních výhod, </w:t>
      </w:r>
      <w:r w:rsidR="00EB7026">
        <w:rPr>
          <w:rFonts w:ascii="Arial" w:eastAsia="Calibri" w:hAnsi="Arial" w:cs="Arial"/>
        </w:rPr>
        <w:t xml:space="preserve">a to </w:t>
      </w:r>
      <w:r w:rsidRPr="00E6549D">
        <w:rPr>
          <w:rFonts w:ascii="Arial" w:eastAsia="Calibri" w:hAnsi="Arial" w:cs="Arial"/>
        </w:rPr>
        <w:t>zejména těch daňových. Konsorcium ERIC může být osvobozeno od platby daně z přidané hodnoty</w:t>
      </w:r>
      <w:r w:rsidR="00EB7026">
        <w:rPr>
          <w:rFonts w:ascii="Arial" w:eastAsia="Calibri" w:hAnsi="Arial" w:cs="Arial"/>
        </w:rPr>
        <w:t xml:space="preserve"> anebo </w:t>
      </w:r>
      <w:r w:rsidRPr="00E6549D">
        <w:rPr>
          <w:rFonts w:ascii="Arial" w:eastAsia="Calibri" w:hAnsi="Arial" w:cs="Arial"/>
        </w:rPr>
        <w:t xml:space="preserve">spotřebních daní souvisejících s provozem výzkumné infrastruktury, </w:t>
      </w:r>
      <w:r w:rsidR="00AE0C26">
        <w:rPr>
          <w:rFonts w:ascii="Arial" w:eastAsia="Calibri" w:hAnsi="Arial" w:cs="Arial"/>
        </w:rPr>
        <w:t>kterou</w:t>
      </w:r>
      <w:r w:rsidRPr="00E6549D">
        <w:rPr>
          <w:rFonts w:ascii="Arial" w:eastAsia="Calibri" w:hAnsi="Arial" w:cs="Arial"/>
        </w:rPr>
        <w:t xml:space="preserve"> konsorcium spravuje. Konsorcia ERIC mohou přijímat </w:t>
      </w:r>
      <w:r w:rsidR="00AE0C26">
        <w:rPr>
          <w:rFonts w:ascii="Arial" w:eastAsia="Calibri" w:hAnsi="Arial" w:cs="Arial"/>
        </w:rPr>
        <w:t xml:space="preserve">i </w:t>
      </w:r>
      <w:r w:rsidRPr="00E6549D">
        <w:rPr>
          <w:rFonts w:ascii="Arial" w:eastAsia="Calibri" w:hAnsi="Arial" w:cs="Arial"/>
        </w:rPr>
        <w:t>vlastní pravidla pro vyhlašování veřejných zakázek.</w:t>
      </w:r>
    </w:p>
    <w:p w14:paraId="406B0104" w14:textId="77777777" w:rsidR="00E6549D" w:rsidRPr="00E6549D" w:rsidRDefault="00E6549D" w:rsidP="00E6549D">
      <w:pPr>
        <w:spacing w:after="0" w:line="240" w:lineRule="auto"/>
        <w:jc w:val="both"/>
        <w:rPr>
          <w:rFonts w:ascii="Arial" w:eastAsia="Calibri" w:hAnsi="Arial" w:cs="Arial"/>
        </w:rPr>
      </w:pPr>
    </w:p>
    <w:p w14:paraId="6412DB14" w14:textId="75C98557" w:rsidR="00E6549D" w:rsidRDefault="00F038D1" w:rsidP="00E6549D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ČR</w:t>
      </w:r>
      <w:r w:rsidR="00E6549D" w:rsidRPr="00E6549D">
        <w:rPr>
          <w:rFonts w:ascii="Arial" w:eastAsia="Calibri" w:hAnsi="Arial" w:cs="Arial"/>
        </w:rPr>
        <w:t xml:space="preserve"> je </w:t>
      </w:r>
      <w:r>
        <w:rPr>
          <w:rFonts w:ascii="Arial" w:eastAsia="Calibri" w:hAnsi="Arial" w:cs="Arial"/>
        </w:rPr>
        <w:t>prostřednictvím MŠMT</w:t>
      </w:r>
      <w:r w:rsidR="00E6549D" w:rsidRPr="00E6549D">
        <w:rPr>
          <w:rFonts w:ascii="Arial" w:eastAsia="Calibri" w:hAnsi="Arial" w:cs="Arial"/>
        </w:rPr>
        <w:t xml:space="preserve"> zapojen</w:t>
      </w:r>
      <w:r>
        <w:rPr>
          <w:rFonts w:ascii="Arial" w:eastAsia="Calibri" w:hAnsi="Arial" w:cs="Arial"/>
        </w:rPr>
        <w:t>a</w:t>
      </w:r>
      <w:r w:rsidR="00E6549D" w:rsidRPr="00E6549D">
        <w:rPr>
          <w:rFonts w:ascii="Arial" w:eastAsia="Calibri" w:hAnsi="Arial" w:cs="Arial"/>
        </w:rPr>
        <w:t xml:space="preserve"> </w:t>
      </w:r>
      <w:r w:rsidR="00C74440">
        <w:rPr>
          <w:rFonts w:ascii="Arial" w:eastAsia="Calibri" w:hAnsi="Arial" w:cs="Arial"/>
        </w:rPr>
        <w:t xml:space="preserve">již </w:t>
      </w:r>
      <w:r w:rsidR="00E6549D" w:rsidRPr="00E6549D">
        <w:rPr>
          <w:rFonts w:ascii="Arial" w:eastAsia="Calibri" w:hAnsi="Arial" w:cs="Arial"/>
        </w:rPr>
        <w:t xml:space="preserve">do </w:t>
      </w:r>
      <w:r w:rsidR="00E6549D" w:rsidRPr="009651B9">
        <w:rPr>
          <w:rFonts w:ascii="Arial" w:eastAsia="Calibri" w:hAnsi="Arial" w:cs="Arial"/>
          <w:b/>
          <w:bCs/>
        </w:rPr>
        <w:t>1</w:t>
      </w:r>
      <w:r w:rsidR="002C066F" w:rsidRPr="009651B9">
        <w:rPr>
          <w:rFonts w:ascii="Arial" w:eastAsia="Calibri" w:hAnsi="Arial" w:cs="Arial"/>
          <w:b/>
          <w:bCs/>
        </w:rPr>
        <w:t>6</w:t>
      </w:r>
      <w:r w:rsidR="00E6549D" w:rsidRPr="009651B9">
        <w:rPr>
          <w:rFonts w:ascii="Arial" w:eastAsia="Calibri" w:hAnsi="Arial" w:cs="Arial"/>
          <w:b/>
          <w:bCs/>
        </w:rPr>
        <w:t xml:space="preserve"> konsorcií ERIC</w:t>
      </w:r>
      <w:r w:rsidR="00E6549D" w:rsidRPr="00E6549D">
        <w:rPr>
          <w:rFonts w:ascii="Arial" w:eastAsia="Calibri" w:hAnsi="Arial" w:cs="Arial"/>
        </w:rPr>
        <w:t xml:space="preserve"> s</w:t>
      </w:r>
      <w:r>
        <w:rPr>
          <w:rFonts w:ascii="Arial" w:eastAsia="Calibri" w:hAnsi="Arial" w:cs="Arial"/>
        </w:rPr>
        <w:t> </w:t>
      </w:r>
      <w:r w:rsidR="00E6549D" w:rsidRPr="00E6549D">
        <w:rPr>
          <w:rFonts w:ascii="Arial" w:eastAsia="Calibri" w:hAnsi="Arial" w:cs="Arial"/>
        </w:rPr>
        <w:t>perspektivou</w:t>
      </w:r>
      <w:r>
        <w:rPr>
          <w:rFonts w:ascii="Arial" w:eastAsia="Calibri" w:hAnsi="Arial" w:cs="Arial"/>
        </w:rPr>
        <w:t>, že budou do konce roku 2022</w:t>
      </w:r>
      <w:r w:rsidR="00C74440">
        <w:rPr>
          <w:rFonts w:ascii="Arial" w:eastAsia="Calibri" w:hAnsi="Arial" w:cs="Arial"/>
        </w:rPr>
        <w:t>, popř.</w:t>
      </w:r>
      <w:r>
        <w:rPr>
          <w:rFonts w:ascii="Arial" w:eastAsia="Calibri" w:hAnsi="Arial" w:cs="Arial"/>
        </w:rPr>
        <w:t xml:space="preserve"> nejpozději v 1. pol. roku 2023 ustavena </w:t>
      </w:r>
      <w:r w:rsidR="00AE0C26">
        <w:rPr>
          <w:rFonts w:ascii="Arial" w:eastAsia="Calibri" w:hAnsi="Arial" w:cs="Arial"/>
        </w:rPr>
        <w:t xml:space="preserve">i </w:t>
      </w:r>
      <w:r w:rsidR="00E6549D" w:rsidRPr="00E6549D">
        <w:rPr>
          <w:rFonts w:ascii="Arial" w:eastAsia="Calibri" w:hAnsi="Arial" w:cs="Arial"/>
        </w:rPr>
        <w:t xml:space="preserve">další </w:t>
      </w:r>
      <w:r w:rsidRPr="009651B9">
        <w:rPr>
          <w:rFonts w:ascii="Arial" w:eastAsia="Calibri" w:hAnsi="Arial" w:cs="Arial"/>
          <w:b/>
          <w:bCs/>
        </w:rPr>
        <w:t>3</w:t>
      </w:r>
      <w:r w:rsidR="00E6549D" w:rsidRPr="009651B9">
        <w:rPr>
          <w:rFonts w:ascii="Arial" w:eastAsia="Calibri" w:hAnsi="Arial" w:cs="Arial"/>
          <w:b/>
          <w:bCs/>
        </w:rPr>
        <w:t xml:space="preserve"> konsorci</w:t>
      </w:r>
      <w:r w:rsidRPr="009651B9">
        <w:rPr>
          <w:rFonts w:ascii="Arial" w:eastAsia="Calibri" w:hAnsi="Arial" w:cs="Arial"/>
          <w:b/>
          <w:bCs/>
        </w:rPr>
        <w:t>a</w:t>
      </w:r>
      <w:r w:rsidR="00E6549D" w:rsidRPr="009651B9">
        <w:rPr>
          <w:rFonts w:ascii="Arial" w:eastAsia="Calibri" w:hAnsi="Arial" w:cs="Arial"/>
          <w:b/>
          <w:bCs/>
        </w:rPr>
        <w:t xml:space="preserve"> ERIC</w:t>
      </w:r>
      <w:r w:rsidR="00E6549D" w:rsidRPr="00E6549D">
        <w:rPr>
          <w:rFonts w:ascii="Arial" w:eastAsia="Calibri" w:hAnsi="Arial" w:cs="Arial"/>
        </w:rPr>
        <w:t xml:space="preserve"> </w:t>
      </w:r>
      <w:r w:rsidRPr="00760CDB">
        <w:rPr>
          <w:rFonts w:ascii="Arial" w:eastAsia="Calibri" w:hAnsi="Arial" w:cs="Arial"/>
        </w:rPr>
        <w:t>s ČR jako se zakladatelským státem</w:t>
      </w:r>
      <w:r w:rsidR="00C74440">
        <w:rPr>
          <w:rFonts w:ascii="Arial" w:eastAsia="Calibri" w:hAnsi="Arial" w:cs="Arial"/>
        </w:rPr>
        <w:t xml:space="preserve">, </w:t>
      </w:r>
      <w:r w:rsidR="00AE0C26">
        <w:rPr>
          <w:rFonts w:ascii="Arial" w:eastAsia="Calibri" w:hAnsi="Arial" w:cs="Arial"/>
        </w:rPr>
        <w:t>protože</w:t>
      </w:r>
      <w:r w:rsidR="00E6549D" w:rsidRPr="00E6549D">
        <w:rPr>
          <w:rFonts w:ascii="Arial" w:eastAsia="Calibri" w:hAnsi="Arial" w:cs="Arial"/>
        </w:rPr>
        <w:t xml:space="preserve"> </w:t>
      </w:r>
      <w:r w:rsidR="00C74440">
        <w:rPr>
          <w:rFonts w:ascii="Arial" w:eastAsia="Calibri" w:hAnsi="Arial" w:cs="Arial"/>
        </w:rPr>
        <w:t>u těchto konsorcií ERIC byla již předložena finální, tzv. step 2 aplikace o jejich ustavení</w:t>
      </w:r>
      <w:r w:rsidR="00AE0C26">
        <w:rPr>
          <w:rFonts w:ascii="Arial" w:eastAsia="Calibri" w:hAnsi="Arial" w:cs="Arial"/>
        </w:rPr>
        <w:t xml:space="preserve"> vůči Evropské komisi</w:t>
      </w:r>
      <w:r w:rsidR="00C74440">
        <w:rPr>
          <w:rFonts w:ascii="Arial" w:eastAsia="Calibri" w:hAnsi="Arial" w:cs="Arial"/>
        </w:rPr>
        <w:t xml:space="preserve">. </w:t>
      </w:r>
      <w:r w:rsidR="00E6549D" w:rsidRPr="00E6549D">
        <w:rPr>
          <w:rFonts w:ascii="Arial" w:eastAsia="Calibri" w:hAnsi="Arial" w:cs="Arial"/>
        </w:rPr>
        <w:t xml:space="preserve">ČR je </w:t>
      </w:r>
      <w:r w:rsidR="00AE0C26">
        <w:rPr>
          <w:rFonts w:ascii="Arial" w:eastAsia="Calibri" w:hAnsi="Arial" w:cs="Arial"/>
        </w:rPr>
        <w:t xml:space="preserve">i </w:t>
      </w:r>
      <w:r w:rsidR="00E6549D" w:rsidRPr="00E6549D">
        <w:rPr>
          <w:rFonts w:ascii="Arial" w:eastAsia="Calibri" w:hAnsi="Arial" w:cs="Arial"/>
        </w:rPr>
        <w:t>hostitelských státem statutárního sídla jednoho z</w:t>
      </w:r>
      <w:r w:rsidR="00C74440">
        <w:rPr>
          <w:rFonts w:ascii="Arial" w:eastAsia="Calibri" w:hAnsi="Arial" w:cs="Arial"/>
        </w:rPr>
        <w:t> </w:t>
      </w:r>
      <w:r w:rsidR="00E6549D" w:rsidRPr="00E6549D">
        <w:rPr>
          <w:rFonts w:ascii="Arial" w:eastAsia="Calibri" w:hAnsi="Arial" w:cs="Arial"/>
        </w:rPr>
        <w:t xml:space="preserve">konsorcií ERIC – </w:t>
      </w:r>
      <w:r w:rsidR="00E6549D" w:rsidRPr="009651B9">
        <w:rPr>
          <w:rFonts w:ascii="Arial" w:eastAsia="Calibri" w:hAnsi="Arial" w:cs="Arial"/>
          <w:b/>
          <w:bCs/>
        </w:rPr>
        <w:t>ELI ERIC</w:t>
      </w:r>
      <w:r w:rsidR="00E6549D" w:rsidRPr="00E6549D">
        <w:rPr>
          <w:rFonts w:ascii="Arial" w:eastAsia="Calibri" w:hAnsi="Arial" w:cs="Arial"/>
        </w:rPr>
        <w:t xml:space="preserve"> (</w:t>
      </w:r>
      <w:r w:rsidR="00E6549D" w:rsidRPr="00E6549D">
        <w:rPr>
          <w:rFonts w:ascii="Arial" w:eastAsia="Calibri" w:hAnsi="Arial" w:cs="Arial"/>
          <w:i/>
          <w:iCs/>
          <w:lang w:val="en-GB"/>
        </w:rPr>
        <w:t>Extreme Light Infrastructure – European Research Infrastructure Consortium</w:t>
      </w:r>
      <w:r w:rsidR="00E6549D" w:rsidRPr="00E6549D">
        <w:rPr>
          <w:rFonts w:ascii="Arial" w:eastAsia="Calibri" w:hAnsi="Arial" w:cs="Arial"/>
        </w:rPr>
        <w:t>), provozuj</w:t>
      </w:r>
      <w:r w:rsidR="009651B9">
        <w:rPr>
          <w:rFonts w:ascii="Arial" w:eastAsia="Calibri" w:hAnsi="Arial" w:cs="Arial"/>
        </w:rPr>
        <w:t>ícího</w:t>
      </w:r>
      <w:r w:rsidR="00775892">
        <w:rPr>
          <w:rFonts w:ascii="Arial" w:eastAsia="Calibri" w:hAnsi="Arial" w:cs="Arial"/>
        </w:rPr>
        <w:t xml:space="preserve"> </w:t>
      </w:r>
      <w:r w:rsidR="00E6549D" w:rsidRPr="00E6549D">
        <w:rPr>
          <w:rFonts w:ascii="Arial" w:eastAsia="Calibri" w:hAnsi="Arial" w:cs="Arial"/>
        </w:rPr>
        <w:t>výzkumn</w:t>
      </w:r>
      <w:r w:rsidR="00880CAE">
        <w:rPr>
          <w:rFonts w:ascii="Arial" w:eastAsia="Calibri" w:hAnsi="Arial" w:cs="Arial"/>
        </w:rPr>
        <w:t>é</w:t>
      </w:r>
      <w:r w:rsidR="00E6549D" w:rsidRPr="00E6549D">
        <w:rPr>
          <w:rFonts w:ascii="Arial" w:eastAsia="Calibri" w:hAnsi="Arial" w:cs="Arial"/>
        </w:rPr>
        <w:t xml:space="preserve"> infrastruktur</w:t>
      </w:r>
      <w:r w:rsidR="00880CAE">
        <w:rPr>
          <w:rFonts w:ascii="Arial" w:eastAsia="Calibri" w:hAnsi="Arial" w:cs="Arial"/>
        </w:rPr>
        <w:t>y</w:t>
      </w:r>
      <w:r w:rsidR="00E6549D" w:rsidRPr="00E6549D">
        <w:rPr>
          <w:rFonts w:ascii="Arial" w:eastAsia="Calibri" w:hAnsi="Arial" w:cs="Arial"/>
        </w:rPr>
        <w:t xml:space="preserve"> ELI Beamlines</w:t>
      </w:r>
      <w:r w:rsidR="00775892">
        <w:rPr>
          <w:rFonts w:ascii="Arial" w:eastAsia="Calibri" w:hAnsi="Arial" w:cs="Arial"/>
        </w:rPr>
        <w:t xml:space="preserve"> a ELI</w:t>
      </w:r>
      <w:r w:rsidR="00880CAE">
        <w:rPr>
          <w:rFonts w:ascii="Arial" w:eastAsia="Calibri" w:hAnsi="Arial" w:cs="Arial"/>
        </w:rPr>
        <w:t xml:space="preserve"> ALPS.</w:t>
      </w:r>
    </w:p>
    <w:p w14:paraId="4F0D4E85" w14:textId="4C8A1E28" w:rsidR="00880CAE" w:rsidRDefault="00880CAE" w:rsidP="00E6549D">
      <w:pPr>
        <w:spacing w:after="0" w:line="240" w:lineRule="auto"/>
        <w:jc w:val="both"/>
        <w:rPr>
          <w:rFonts w:ascii="Arial" w:eastAsia="Calibri" w:hAnsi="Arial" w:cs="Arial"/>
        </w:rPr>
      </w:pPr>
    </w:p>
    <w:p w14:paraId="69B3B633" w14:textId="2D12C93C" w:rsidR="00880CAE" w:rsidRDefault="00880CAE" w:rsidP="00E6549D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Velké výzkumné infrastruktury mají </w:t>
      </w:r>
      <w:r w:rsidR="00E12B73">
        <w:rPr>
          <w:rFonts w:ascii="Arial" w:eastAsia="Calibri" w:hAnsi="Arial" w:cs="Arial"/>
        </w:rPr>
        <w:t>důležité</w:t>
      </w:r>
      <w:r>
        <w:rPr>
          <w:rFonts w:ascii="Arial" w:eastAsia="Calibri" w:hAnsi="Arial" w:cs="Arial"/>
        </w:rPr>
        <w:t xml:space="preserve"> vazby </w:t>
      </w:r>
      <w:r w:rsidR="00E12B73">
        <w:rPr>
          <w:rFonts w:ascii="Arial" w:eastAsia="Calibri" w:hAnsi="Arial" w:cs="Arial"/>
        </w:rPr>
        <w:t>i</w:t>
      </w:r>
      <w:r>
        <w:rPr>
          <w:rFonts w:ascii="Arial" w:eastAsia="Calibri" w:hAnsi="Arial" w:cs="Arial"/>
        </w:rPr>
        <w:t xml:space="preserve"> na </w:t>
      </w:r>
      <w:r w:rsidRPr="00880CAE">
        <w:rPr>
          <w:rFonts w:ascii="Arial" w:eastAsia="Calibri" w:hAnsi="Arial" w:cs="Arial"/>
          <w:b/>
          <w:bCs/>
        </w:rPr>
        <w:t>mezinárodní organizace</w:t>
      </w:r>
      <w:r w:rsidRPr="00E12B73">
        <w:rPr>
          <w:rFonts w:ascii="Arial" w:eastAsia="Calibri" w:hAnsi="Arial" w:cs="Arial"/>
          <w:b/>
          <w:bCs/>
        </w:rPr>
        <w:t xml:space="preserve"> VaVaI</w:t>
      </w:r>
      <w:r>
        <w:rPr>
          <w:rFonts w:ascii="Arial" w:eastAsia="Calibri" w:hAnsi="Arial" w:cs="Arial"/>
        </w:rPr>
        <w:t xml:space="preserve">, </w:t>
      </w:r>
      <w:r w:rsidR="00E12B73">
        <w:rPr>
          <w:rFonts w:ascii="Arial" w:eastAsia="Calibri" w:hAnsi="Arial" w:cs="Arial"/>
        </w:rPr>
        <w:t>jichž</w:t>
      </w:r>
      <w:r>
        <w:rPr>
          <w:rFonts w:ascii="Arial" w:eastAsia="Calibri" w:hAnsi="Arial" w:cs="Arial"/>
        </w:rPr>
        <w:t xml:space="preserve"> je ČR prostřednictvím MŠMT </w:t>
      </w:r>
      <w:r w:rsidR="00E12B73">
        <w:rPr>
          <w:rFonts w:ascii="Arial" w:eastAsia="Calibri" w:hAnsi="Arial" w:cs="Arial"/>
        </w:rPr>
        <w:t>členským státem</w:t>
      </w:r>
      <w:r>
        <w:rPr>
          <w:rFonts w:ascii="Arial" w:eastAsia="Calibri" w:hAnsi="Arial" w:cs="Arial"/>
        </w:rPr>
        <w:t xml:space="preserve">, </w:t>
      </w:r>
      <w:r w:rsidR="00E12B73">
        <w:rPr>
          <w:rFonts w:ascii="Arial" w:eastAsia="Calibri" w:hAnsi="Arial" w:cs="Arial"/>
        </w:rPr>
        <w:t xml:space="preserve">jako </w:t>
      </w:r>
      <w:r>
        <w:rPr>
          <w:rFonts w:ascii="Arial" w:eastAsia="Calibri" w:hAnsi="Arial" w:cs="Arial"/>
        </w:rPr>
        <w:t>např. CERN (</w:t>
      </w:r>
      <w:r w:rsidRPr="00880CAE">
        <w:rPr>
          <w:rFonts w:ascii="Arial" w:eastAsia="Calibri" w:hAnsi="Arial" w:cs="Arial"/>
          <w:i/>
          <w:iCs/>
        </w:rPr>
        <w:t xml:space="preserve">European </w:t>
      </w:r>
      <w:proofErr w:type="spellStart"/>
      <w:r w:rsidRPr="00880CAE">
        <w:rPr>
          <w:rFonts w:ascii="Arial" w:eastAsia="Calibri" w:hAnsi="Arial" w:cs="Arial"/>
          <w:i/>
          <w:iCs/>
        </w:rPr>
        <w:t>Organi</w:t>
      </w:r>
      <w:r>
        <w:rPr>
          <w:rFonts w:ascii="Arial" w:eastAsia="Calibri" w:hAnsi="Arial" w:cs="Arial"/>
          <w:i/>
          <w:iCs/>
        </w:rPr>
        <w:t>s</w:t>
      </w:r>
      <w:r w:rsidRPr="00880CAE">
        <w:rPr>
          <w:rFonts w:ascii="Arial" w:eastAsia="Calibri" w:hAnsi="Arial" w:cs="Arial"/>
          <w:i/>
          <w:iCs/>
        </w:rPr>
        <w:t>ation</w:t>
      </w:r>
      <w:proofErr w:type="spellEnd"/>
      <w:r w:rsidRPr="00880CAE">
        <w:rPr>
          <w:rFonts w:ascii="Arial" w:eastAsia="Calibri" w:hAnsi="Arial" w:cs="Arial"/>
          <w:i/>
          <w:iCs/>
        </w:rPr>
        <w:t xml:space="preserve"> </w:t>
      </w:r>
      <w:proofErr w:type="spellStart"/>
      <w:r w:rsidRPr="00880CAE">
        <w:rPr>
          <w:rFonts w:ascii="Arial" w:eastAsia="Calibri" w:hAnsi="Arial" w:cs="Arial"/>
          <w:i/>
          <w:iCs/>
        </w:rPr>
        <w:t>for</w:t>
      </w:r>
      <w:proofErr w:type="spellEnd"/>
      <w:r w:rsidRPr="00880CAE">
        <w:rPr>
          <w:rFonts w:ascii="Arial" w:eastAsia="Calibri" w:hAnsi="Arial" w:cs="Arial"/>
          <w:i/>
          <w:iCs/>
        </w:rPr>
        <w:t xml:space="preserve"> </w:t>
      </w:r>
      <w:proofErr w:type="spellStart"/>
      <w:r w:rsidRPr="00880CAE">
        <w:rPr>
          <w:rFonts w:ascii="Arial" w:eastAsia="Calibri" w:hAnsi="Arial" w:cs="Arial"/>
          <w:i/>
          <w:iCs/>
        </w:rPr>
        <w:t>Nuclear</w:t>
      </w:r>
      <w:proofErr w:type="spellEnd"/>
      <w:r w:rsidRPr="00880CAE">
        <w:rPr>
          <w:rFonts w:ascii="Arial" w:eastAsia="Calibri" w:hAnsi="Arial" w:cs="Arial"/>
          <w:i/>
          <w:iCs/>
        </w:rPr>
        <w:t xml:space="preserve"> Research</w:t>
      </w:r>
      <w:r>
        <w:rPr>
          <w:rFonts w:ascii="Arial" w:eastAsia="Calibri" w:hAnsi="Arial" w:cs="Arial"/>
        </w:rPr>
        <w:t>), ESO (</w:t>
      </w:r>
      <w:r w:rsidRPr="00880CAE">
        <w:rPr>
          <w:rFonts w:ascii="Arial" w:eastAsia="Calibri" w:hAnsi="Arial" w:cs="Arial"/>
          <w:i/>
          <w:iCs/>
        </w:rPr>
        <w:t xml:space="preserve">European </w:t>
      </w:r>
      <w:proofErr w:type="spellStart"/>
      <w:r w:rsidRPr="00880CAE">
        <w:rPr>
          <w:rFonts w:ascii="Arial" w:eastAsia="Calibri" w:hAnsi="Arial" w:cs="Arial"/>
          <w:i/>
          <w:iCs/>
        </w:rPr>
        <w:t>Organisation</w:t>
      </w:r>
      <w:proofErr w:type="spellEnd"/>
      <w:r w:rsidRPr="00880CAE">
        <w:rPr>
          <w:rFonts w:ascii="Arial" w:eastAsia="Calibri" w:hAnsi="Arial" w:cs="Arial"/>
          <w:i/>
          <w:iCs/>
        </w:rPr>
        <w:t xml:space="preserve"> </w:t>
      </w:r>
      <w:proofErr w:type="spellStart"/>
      <w:r w:rsidRPr="00880CAE">
        <w:rPr>
          <w:rFonts w:ascii="Arial" w:eastAsia="Calibri" w:hAnsi="Arial" w:cs="Arial"/>
          <w:i/>
          <w:iCs/>
        </w:rPr>
        <w:t>for</w:t>
      </w:r>
      <w:proofErr w:type="spellEnd"/>
      <w:r w:rsidRPr="00880CAE">
        <w:rPr>
          <w:rFonts w:ascii="Arial" w:eastAsia="Calibri" w:hAnsi="Arial" w:cs="Arial"/>
          <w:i/>
          <w:iCs/>
        </w:rPr>
        <w:t xml:space="preserve"> </w:t>
      </w:r>
      <w:proofErr w:type="spellStart"/>
      <w:r w:rsidRPr="00880CAE">
        <w:rPr>
          <w:rFonts w:ascii="Arial" w:eastAsia="Calibri" w:hAnsi="Arial" w:cs="Arial"/>
          <w:i/>
          <w:iCs/>
        </w:rPr>
        <w:t>Astronomical</w:t>
      </w:r>
      <w:proofErr w:type="spellEnd"/>
      <w:r w:rsidRPr="00880CAE">
        <w:rPr>
          <w:rFonts w:ascii="Arial" w:eastAsia="Calibri" w:hAnsi="Arial" w:cs="Arial"/>
          <w:i/>
          <w:iCs/>
        </w:rPr>
        <w:t xml:space="preserve"> Research in </w:t>
      </w:r>
      <w:proofErr w:type="spellStart"/>
      <w:r w:rsidRPr="00880CAE">
        <w:rPr>
          <w:rFonts w:ascii="Arial" w:eastAsia="Calibri" w:hAnsi="Arial" w:cs="Arial"/>
          <w:i/>
          <w:iCs/>
        </w:rPr>
        <w:t>the</w:t>
      </w:r>
      <w:proofErr w:type="spellEnd"/>
      <w:r w:rsidRPr="00880CAE">
        <w:rPr>
          <w:rFonts w:ascii="Arial" w:eastAsia="Calibri" w:hAnsi="Arial" w:cs="Arial"/>
          <w:i/>
          <w:iCs/>
        </w:rPr>
        <w:t xml:space="preserve"> </w:t>
      </w:r>
      <w:proofErr w:type="spellStart"/>
      <w:r w:rsidRPr="00880CAE">
        <w:rPr>
          <w:rFonts w:ascii="Arial" w:eastAsia="Calibri" w:hAnsi="Arial" w:cs="Arial"/>
          <w:i/>
          <w:iCs/>
        </w:rPr>
        <w:t>Southern</w:t>
      </w:r>
      <w:proofErr w:type="spellEnd"/>
      <w:r w:rsidRPr="00880CAE">
        <w:rPr>
          <w:rFonts w:ascii="Arial" w:eastAsia="Calibri" w:hAnsi="Arial" w:cs="Arial"/>
          <w:i/>
          <w:iCs/>
        </w:rPr>
        <w:t xml:space="preserve"> </w:t>
      </w:r>
      <w:proofErr w:type="spellStart"/>
      <w:r w:rsidRPr="00880CAE">
        <w:rPr>
          <w:rFonts w:ascii="Arial" w:eastAsia="Calibri" w:hAnsi="Arial" w:cs="Arial"/>
          <w:i/>
          <w:iCs/>
        </w:rPr>
        <w:t>Hemisphere</w:t>
      </w:r>
      <w:proofErr w:type="spellEnd"/>
      <w:r>
        <w:rPr>
          <w:rFonts w:ascii="Arial" w:eastAsia="Calibri" w:hAnsi="Arial" w:cs="Arial"/>
        </w:rPr>
        <w:t xml:space="preserve">) </w:t>
      </w:r>
      <w:r w:rsidR="00E77885">
        <w:rPr>
          <w:rFonts w:ascii="Arial" w:eastAsia="Calibri" w:hAnsi="Arial" w:cs="Arial"/>
        </w:rPr>
        <w:t>či</w:t>
      </w:r>
      <w:r w:rsidR="00E12B73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ITER (</w:t>
      </w:r>
      <w:r w:rsidRPr="00880CAE">
        <w:rPr>
          <w:rFonts w:ascii="Arial" w:eastAsia="Calibri" w:hAnsi="Arial" w:cs="Arial"/>
          <w:i/>
          <w:iCs/>
        </w:rPr>
        <w:t xml:space="preserve">International </w:t>
      </w:r>
      <w:proofErr w:type="spellStart"/>
      <w:r w:rsidRPr="00880CAE">
        <w:rPr>
          <w:rFonts w:ascii="Arial" w:eastAsia="Calibri" w:hAnsi="Arial" w:cs="Arial"/>
          <w:i/>
          <w:iCs/>
        </w:rPr>
        <w:t>Thermonuclear</w:t>
      </w:r>
      <w:proofErr w:type="spellEnd"/>
      <w:r w:rsidRPr="00880CAE">
        <w:rPr>
          <w:rFonts w:ascii="Arial" w:eastAsia="Calibri" w:hAnsi="Arial" w:cs="Arial"/>
          <w:i/>
          <w:iCs/>
        </w:rPr>
        <w:t xml:space="preserve"> </w:t>
      </w:r>
      <w:proofErr w:type="spellStart"/>
      <w:r w:rsidRPr="00880CAE">
        <w:rPr>
          <w:rFonts w:ascii="Arial" w:eastAsia="Calibri" w:hAnsi="Arial" w:cs="Arial"/>
          <w:i/>
          <w:iCs/>
        </w:rPr>
        <w:t>Experimental</w:t>
      </w:r>
      <w:proofErr w:type="spellEnd"/>
      <w:r w:rsidRPr="00880CAE">
        <w:rPr>
          <w:rFonts w:ascii="Arial" w:eastAsia="Calibri" w:hAnsi="Arial" w:cs="Arial"/>
          <w:i/>
          <w:iCs/>
        </w:rPr>
        <w:t xml:space="preserve"> </w:t>
      </w:r>
      <w:proofErr w:type="spellStart"/>
      <w:r w:rsidRPr="00880CAE">
        <w:rPr>
          <w:rFonts w:ascii="Arial" w:eastAsia="Calibri" w:hAnsi="Arial" w:cs="Arial"/>
          <w:i/>
          <w:iCs/>
        </w:rPr>
        <w:t>Reactor</w:t>
      </w:r>
      <w:proofErr w:type="spellEnd"/>
      <w:r>
        <w:rPr>
          <w:rFonts w:ascii="Arial" w:eastAsia="Calibri" w:hAnsi="Arial" w:cs="Arial"/>
        </w:rPr>
        <w:t>)</w:t>
      </w:r>
      <w:r w:rsidR="00E12B73">
        <w:rPr>
          <w:rFonts w:ascii="Arial" w:eastAsia="Calibri" w:hAnsi="Arial" w:cs="Arial"/>
        </w:rPr>
        <w:t>, což dokládá vysoký stupeň internacionalizace, mezinárodní spolupráce a kvality velkých výzkumných infrastruktur.</w:t>
      </w:r>
    </w:p>
    <w:p w14:paraId="5EF41A3C" w14:textId="559F552D" w:rsidR="00775892" w:rsidRDefault="00775892" w:rsidP="00E6549D">
      <w:pPr>
        <w:spacing w:after="0" w:line="240" w:lineRule="auto"/>
        <w:jc w:val="both"/>
        <w:rPr>
          <w:rFonts w:ascii="Arial" w:eastAsia="Calibri" w:hAnsi="Arial" w:cs="Arial"/>
        </w:rPr>
      </w:pPr>
    </w:p>
    <w:p w14:paraId="5C936FF8" w14:textId="369BF3C5" w:rsidR="00775892" w:rsidRPr="00486C09" w:rsidRDefault="00486C09" w:rsidP="00E6549D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486C09">
        <w:rPr>
          <w:rFonts w:ascii="Arial" w:eastAsia="Calibri" w:hAnsi="Arial" w:cs="Arial"/>
          <w:b/>
          <w:bCs/>
        </w:rPr>
        <w:t xml:space="preserve">Zapojení velkých výzkumných infrastruktur podporovaných MŠMT do </w:t>
      </w:r>
      <w:r>
        <w:rPr>
          <w:rFonts w:ascii="Arial" w:eastAsia="Calibri" w:hAnsi="Arial" w:cs="Arial"/>
          <w:b/>
          <w:bCs/>
        </w:rPr>
        <w:t>nejkvalitnějších</w:t>
      </w:r>
      <w:r w:rsidRPr="00486C09">
        <w:rPr>
          <w:rFonts w:ascii="Arial" w:eastAsia="Calibri" w:hAnsi="Arial" w:cs="Arial"/>
          <w:b/>
          <w:bCs/>
        </w:rPr>
        <w:t xml:space="preserve"> evropských výzkumných infrastruktur uvedených na Cestovní mapě ESFRI</w:t>
      </w:r>
      <w:r w:rsidR="00880CAE">
        <w:rPr>
          <w:rFonts w:ascii="Arial" w:eastAsia="Calibri" w:hAnsi="Arial" w:cs="Arial"/>
          <w:b/>
          <w:bCs/>
        </w:rPr>
        <w:t>,</w:t>
      </w:r>
      <w:r>
        <w:rPr>
          <w:rFonts w:ascii="Arial" w:eastAsia="Calibri" w:hAnsi="Arial" w:cs="Arial"/>
          <w:b/>
          <w:bCs/>
        </w:rPr>
        <w:t xml:space="preserve"> konsorcií evropských výzkumných infrastruktur ERIC </w:t>
      </w:r>
      <w:r w:rsidR="00E12B73">
        <w:rPr>
          <w:rFonts w:ascii="Arial" w:eastAsia="Calibri" w:hAnsi="Arial" w:cs="Arial"/>
          <w:b/>
          <w:bCs/>
        </w:rPr>
        <w:t>a</w:t>
      </w:r>
      <w:r w:rsidR="00880CAE">
        <w:rPr>
          <w:rFonts w:ascii="Arial" w:eastAsia="Calibri" w:hAnsi="Arial" w:cs="Arial"/>
          <w:b/>
          <w:bCs/>
        </w:rPr>
        <w:t xml:space="preserve"> mezinárodních organizací </w:t>
      </w:r>
      <w:r w:rsidR="00E12B73">
        <w:rPr>
          <w:rFonts w:ascii="Arial" w:eastAsia="Calibri" w:hAnsi="Arial" w:cs="Arial"/>
          <w:b/>
          <w:bCs/>
        </w:rPr>
        <w:t>VaVaI</w:t>
      </w:r>
      <w:r w:rsidR="00880CAE"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eastAsia="Calibri" w:hAnsi="Arial" w:cs="Arial"/>
          <w:b/>
          <w:bCs/>
        </w:rPr>
        <w:t>dokládá úspěch výzkumně-infrastrukturní politiky ČR rozvíjené MŠMT</w:t>
      </w:r>
      <w:r w:rsidR="00880CAE">
        <w:rPr>
          <w:rFonts w:ascii="Arial" w:eastAsia="Calibri" w:hAnsi="Arial" w:cs="Arial"/>
          <w:b/>
          <w:bCs/>
        </w:rPr>
        <w:t>.</w:t>
      </w:r>
      <w:r w:rsidRPr="00486C09">
        <w:rPr>
          <w:rFonts w:ascii="Arial" w:eastAsia="Calibri" w:hAnsi="Arial" w:cs="Arial"/>
          <w:b/>
          <w:bCs/>
        </w:rPr>
        <w:t xml:space="preserve"> </w:t>
      </w:r>
    </w:p>
    <w:p w14:paraId="59FEB53B" w14:textId="77777777" w:rsidR="00C74440" w:rsidRDefault="00C74440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6BA66DB1" w14:textId="285030E4" w:rsidR="00C74440" w:rsidRPr="00EB7026" w:rsidRDefault="00C74440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 xml:space="preserve">Rámcový program </w:t>
      </w:r>
      <w:r w:rsidR="00F74B30">
        <w:rPr>
          <w:rFonts w:ascii="Arial" w:eastAsia="Calibri" w:hAnsi="Arial" w:cs="Arial"/>
          <w:b/>
          <w:bCs/>
          <w:u w:val="single"/>
        </w:rPr>
        <w:t xml:space="preserve">EU </w:t>
      </w:r>
      <w:r>
        <w:rPr>
          <w:rFonts w:ascii="Arial" w:eastAsia="Calibri" w:hAnsi="Arial" w:cs="Arial"/>
          <w:b/>
          <w:bCs/>
          <w:u w:val="single"/>
        </w:rPr>
        <w:t>pro výzkum a inovace Horizont Evropa</w:t>
      </w:r>
    </w:p>
    <w:p w14:paraId="28FDB8CB" w14:textId="77777777" w:rsidR="00C74440" w:rsidRDefault="00C74440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194B68C1" w14:textId="68EDAF4C" w:rsidR="00106780" w:rsidRDefault="00760CDB" w:rsidP="00106780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Evropské v</w:t>
      </w:r>
      <w:r w:rsidR="00106780" w:rsidRPr="00106780">
        <w:rPr>
          <w:rFonts w:ascii="Arial" w:eastAsia="Calibri" w:hAnsi="Arial" w:cs="Arial"/>
        </w:rPr>
        <w:t xml:space="preserve">ýzkumné infrastruktury </w:t>
      </w:r>
      <w:r>
        <w:rPr>
          <w:rFonts w:ascii="Arial" w:eastAsia="Calibri" w:hAnsi="Arial" w:cs="Arial"/>
        </w:rPr>
        <w:t>jsou jako jedna z intervenčních oblastí</w:t>
      </w:r>
      <w:r w:rsidR="00106780" w:rsidRPr="00106780">
        <w:rPr>
          <w:rFonts w:ascii="Arial" w:eastAsia="Calibri" w:hAnsi="Arial" w:cs="Arial"/>
        </w:rPr>
        <w:t xml:space="preserve"> </w:t>
      </w:r>
      <w:r w:rsidR="00E14F72">
        <w:rPr>
          <w:rFonts w:ascii="Arial" w:eastAsia="Calibri" w:hAnsi="Arial" w:cs="Arial"/>
        </w:rPr>
        <w:t xml:space="preserve">podpory </w:t>
      </w:r>
      <w:r w:rsidR="00106780" w:rsidRPr="00106780">
        <w:rPr>
          <w:rFonts w:ascii="Arial" w:eastAsia="Calibri" w:hAnsi="Arial" w:cs="Arial"/>
        </w:rPr>
        <w:t>zahrnuty do rámcových programů EU pro výzkum a inovac</w:t>
      </w:r>
      <w:r>
        <w:rPr>
          <w:rFonts w:ascii="Arial" w:eastAsia="Calibri" w:hAnsi="Arial" w:cs="Arial"/>
        </w:rPr>
        <w:t>e</w:t>
      </w:r>
      <w:r w:rsidR="00E14F72">
        <w:rPr>
          <w:rFonts w:ascii="Arial" w:eastAsia="Calibri" w:hAnsi="Arial" w:cs="Arial"/>
        </w:rPr>
        <w:t xml:space="preserve">, nyní </w:t>
      </w:r>
      <w:hyperlink r:id="rId15" w:history="1">
        <w:r w:rsidR="00E14F72" w:rsidRPr="00871E15">
          <w:rPr>
            <w:rStyle w:val="Hypertextovodkaz"/>
            <w:rFonts w:ascii="Arial" w:eastAsia="Calibri" w:hAnsi="Arial" w:cs="Arial"/>
            <w:b/>
            <w:bCs/>
            <w:color w:val="0070C0"/>
          </w:rPr>
          <w:t>9. rámcového programu pro výzkum a inovace Horizontu Evropa (2021–2027)</w:t>
        </w:r>
      </w:hyperlink>
      <w:r w:rsidR="00106780" w:rsidRPr="00106780">
        <w:rPr>
          <w:rFonts w:ascii="Arial" w:eastAsia="Calibri" w:hAnsi="Arial" w:cs="Arial"/>
        </w:rPr>
        <w:t xml:space="preserve">. Z rámcových programů EU pro výzkum a inovace jsou </w:t>
      </w:r>
      <w:r w:rsidR="000326A6">
        <w:rPr>
          <w:rFonts w:ascii="Arial" w:eastAsia="Calibri" w:hAnsi="Arial" w:cs="Arial"/>
        </w:rPr>
        <w:t xml:space="preserve">podporovány </w:t>
      </w:r>
      <w:r w:rsidR="00106780" w:rsidRPr="00106780">
        <w:rPr>
          <w:rFonts w:ascii="Arial" w:eastAsia="Calibri" w:hAnsi="Arial" w:cs="Arial"/>
        </w:rPr>
        <w:t xml:space="preserve">především přípravné fáze </w:t>
      </w:r>
      <w:r w:rsidR="00686C0B">
        <w:rPr>
          <w:rFonts w:ascii="Arial" w:eastAsia="Calibri" w:hAnsi="Arial" w:cs="Arial"/>
        </w:rPr>
        <w:t xml:space="preserve">evropských </w:t>
      </w:r>
      <w:r w:rsidR="00106780" w:rsidRPr="00106780">
        <w:rPr>
          <w:rFonts w:ascii="Arial" w:eastAsia="Calibri" w:hAnsi="Arial" w:cs="Arial"/>
        </w:rPr>
        <w:t>výzkumných infrastruktur a</w:t>
      </w:r>
      <w:r w:rsidR="00686C0B">
        <w:rPr>
          <w:rFonts w:ascii="Arial" w:eastAsia="Calibri" w:hAnsi="Arial" w:cs="Arial"/>
        </w:rPr>
        <w:t> </w:t>
      </w:r>
      <w:r w:rsidR="00106780" w:rsidRPr="00106780">
        <w:rPr>
          <w:rFonts w:ascii="Arial" w:eastAsia="Calibri" w:hAnsi="Arial" w:cs="Arial"/>
        </w:rPr>
        <w:t>integrační aktivity</w:t>
      </w:r>
      <w:r w:rsidR="00E14F72">
        <w:rPr>
          <w:rFonts w:ascii="Arial" w:eastAsia="Calibri" w:hAnsi="Arial" w:cs="Arial"/>
        </w:rPr>
        <w:t xml:space="preserve"> v podobě</w:t>
      </w:r>
      <w:r w:rsidR="00106780" w:rsidRPr="00106780">
        <w:rPr>
          <w:rFonts w:ascii="Arial" w:eastAsia="Calibri" w:hAnsi="Arial" w:cs="Arial"/>
        </w:rPr>
        <w:t xml:space="preserve"> </w:t>
      </w:r>
      <w:r w:rsidR="00E14F72">
        <w:rPr>
          <w:rFonts w:ascii="Arial" w:eastAsia="Calibri" w:hAnsi="Arial" w:cs="Arial"/>
        </w:rPr>
        <w:t xml:space="preserve">jejich </w:t>
      </w:r>
      <w:r w:rsidR="00106780" w:rsidRPr="00106780">
        <w:rPr>
          <w:rFonts w:ascii="Arial" w:eastAsia="Calibri" w:hAnsi="Arial" w:cs="Arial"/>
        </w:rPr>
        <w:t xml:space="preserve">propojování do mezinárodních </w:t>
      </w:r>
      <w:r w:rsidR="00E14F72">
        <w:rPr>
          <w:rFonts w:ascii="Arial" w:eastAsia="Calibri" w:hAnsi="Arial" w:cs="Arial"/>
        </w:rPr>
        <w:t xml:space="preserve">aliancí, asociací anebo </w:t>
      </w:r>
      <w:r w:rsidR="00106780" w:rsidRPr="00106780">
        <w:rPr>
          <w:rFonts w:ascii="Arial" w:eastAsia="Calibri" w:hAnsi="Arial" w:cs="Arial"/>
        </w:rPr>
        <w:t>konsorcií</w:t>
      </w:r>
      <w:r w:rsidR="00686C0B">
        <w:rPr>
          <w:rFonts w:ascii="Arial" w:eastAsia="Calibri" w:hAnsi="Arial" w:cs="Arial"/>
        </w:rPr>
        <w:t>, včetně právnických osob ERIC</w:t>
      </w:r>
      <w:r w:rsidR="00106780" w:rsidRPr="00106780">
        <w:rPr>
          <w:rFonts w:ascii="Arial" w:eastAsia="Calibri" w:hAnsi="Arial" w:cs="Arial"/>
        </w:rPr>
        <w:t>. Z prostředků rám</w:t>
      </w:r>
      <w:r w:rsidR="00686C0B">
        <w:rPr>
          <w:rFonts w:ascii="Arial" w:eastAsia="Calibri" w:hAnsi="Arial" w:cs="Arial"/>
        </w:rPr>
        <w:t>c</w:t>
      </w:r>
      <w:r w:rsidR="00106780" w:rsidRPr="00106780">
        <w:rPr>
          <w:rFonts w:ascii="Arial" w:eastAsia="Calibri" w:hAnsi="Arial" w:cs="Arial"/>
        </w:rPr>
        <w:t xml:space="preserve">ových programů EU pro výzkum a inovace nelze </w:t>
      </w:r>
      <w:r w:rsidR="008E7516">
        <w:rPr>
          <w:rFonts w:ascii="Arial" w:eastAsia="Calibri" w:hAnsi="Arial" w:cs="Arial"/>
        </w:rPr>
        <w:t xml:space="preserve">poté </w:t>
      </w:r>
      <w:r w:rsidR="00106780" w:rsidRPr="00106780">
        <w:rPr>
          <w:rFonts w:ascii="Arial" w:eastAsia="Calibri" w:hAnsi="Arial" w:cs="Arial"/>
        </w:rPr>
        <w:t xml:space="preserve">hradit </w:t>
      </w:r>
      <w:r w:rsidR="008E7516">
        <w:rPr>
          <w:rFonts w:ascii="Arial" w:eastAsia="Calibri" w:hAnsi="Arial" w:cs="Arial"/>
        </w:rPr>
        <w:t xml:space="preserve">běžné </w:t>
      </w:r>
      <w:r w:rsidR="00106780" w:rsidRPr="00106780">
        <w:rPr>
          <w:rFonts w:ascii="Arial" w:eastAsia="Calibri" w:hAnsi="Arial" w:cs="Arial"/>
        </w:rPr>
        <w:t xml:space="preserve">provozní, ani re/investiční náklady </w:t>
      </w:r>
      <w:r w:rsidR="00E14F72">
        <w:rPr>
          <w:rFonts w:ascii="Arial" w:eastAsia="Calibri" w:hAnsi="Arial" w:cs="Arial"/>
        </w:rPr>
        <w:t xml:space="preserve">evropských </w:t>
      </w:r>
      <w:r w:rsidR="00106780" w:rsidRPr="00106780">
        <w:rPr>
          <w:rFonts w:ascii="Arial" w:eastAsia="Calibri" w:hAnsi="Arial" w:cs="Arial"/>
        </w:rPr>
        <w:t>výzkumných infrastruktur</w:t>
      </w:r>
      <w:r w:rsidR="00686C0B">
        <w:rPr>
          <w:rFonts w:ascii="Arial" w:eastAsia="Calibri" w:hAnsi="Arial" w:cs="Arial"/>
        </w:rPr>
        <w:t xml:space="preserve">, což </w:t>
      </w:r>
      <w:r w:rsidR="00612079">
        <w:rPr>
          <w:rFonts w:ascii="Arial" w:eastAsia="Calibri" w:hAnsi="Arial" w:cs="Arial"/>
        </w:rPr>
        <w:t>náleží do plné odpovědnosti</w:t>
      </w:r>
      <w:r w:rsidR="00686C0B">
        <w:rPr>
          <w:rFonts w:ascii="Arial" w:eastAsia="Calibri" w:hAnsi="Arial" w:cs="Arial"/>
        </w:rPr>
        <w:t xml:space="preserve"> </w:t>
      </w:r>
      <w:r w:rsidR="000326A6">
        <w:rPr>
          <w:rFonts w:ascii="Arial" w:eastAsia="Calibri" w:hAnsi="Arial" w:cs="Arial"/>
        </w:rPr>
        <w:t>jejich hostitelských</w:t>
      </w:r>
      <w:r w:rsidR="00686C0B">
        <w:rPr>
          <w:rFonts w:ascii="Arial" w:eastAsia="Calibri" w:hAnsi="Arial" w:cs="Arial"/>
        </w:rPr>
        <w:t xml:space="preserve"> států</w:t>
      </w:r>
      <w:r w:rsidR="008E7516">
        <w:rPr>
          <w:rFonts w:ascii="Arial" w:eastAsia="Calibri" w:hAnsi="Arial" w:cs="Arial"/>
        </w:rPr>
        <w:t xml:space="preserve"> a národních financujících orgánů.</w:t>
      </w:r>
    </w:p>
    <w:p w14:paraId="5ECB5EC3" w14:textId="77777777" w:rsidR="00686C0B" w:rsidRPr="00106780" w:rsidRDefault="00686C0B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7CFE657D" w14:textId="6A7F9347" w:rsidR="00106780" w:rsidRPr="00106780" w:rsidRDefault="003E34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u w:val="single"/>
        </w:rPr>
        <w:t>VELKÉ VÝZKUMNÉ INFRASTRUKTURY</w:t>
      </w:r>
    </w:p>
    <w:p w14:paraId="46886126" w14:textId="6325E9D9" w:rsidR="00106780" w:rsidRDefault="00106780" w:rsidP="00106780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14:paraId="1F23831B" w14:textId="7BB86AB5" w:rsidR="00A80CE1" w:rsidRDefault="00A80CE1" w:rsidP="00A80CE1">
      <w:pPr>
        <w:spacing w:after="0" w:line="240" w:lineRule="auto"/>
        <w:jc w:val="both"/>
        <w:rPr>
          <w:rFonts w:ascii="Arial" w:eastAsia="Calibri" w:hAnsi="Arial" w:cs="Arial"/>
        </w:rPr>
      </w:pPr>
      <w:r w:rsidRPr="00106780">
        <w:rPr>
          <w:rFonts w:ascii="Arial" w:eastAsia="Calibri" w:hAnsi="Arial" w:cs="Arial"/>
        </w:rPr>
        <w:t>Rovněž ČR v uplynul</w:t>
      </w:r>
      <w:r>
        <w:rPr>
          <w:rFonts w:ascii="Arial" w:eastAsia="Calibri" w:hAnsi="Arial" w:cs="Arial"/>
        </w:rPr>
        <w:t>ém</w:t>
      </w:r>
      <w:r w:rsidRPr="00106780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období</w:t>
      </w:r>
      <w:r w:rsidRPr="00106780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za</w:t>
      </w:r>
      <w:r w:rsidRPr="00106780">
        <w:rPr>
          <w:rFonts w:ascii="Arial" w:eastAsia="Calibri" w:hAnsi="Arial" w:cs="Arial"/>
        </w:rPr>
        <w:t>reagovala na zvyšující se význam výzkumných infrastruktur a</w:t>
      </w:r>
      <w:r>
        <w:rPr>
          <w:rFonts w:ascii="Arial" w:eastAsia="Calibri" w:hAnsi="Arial" w:cs="Arial"/>
        </w:rPr>
        <w:t> </w:t>
      </w:r>
      <w:r w:rsidRPr="00106780">
        <w:rPr>
          <w:rFonts w:ascii="Arial" w:eastAsia="Calibri" w:hAnsi="Arial" w:cs="Arial"/>
        </w:rPr>
        <w:t xml:space="preserve">za účelem jejich reflexe jako jedné z klíčových součástí národního výzkumného a inovačního </w:t>
      </w:r>
      <w:r>
        <w:rPr>
          <w:rFonts w:ascii="Arial" w:eastAsia="Calibri" w:hAnsi="Arial" w:cs="Arial"/>
        </w:rPr>
        <w:t>eko</w:t>
      </w:r>
      <w:r w:rsidRPr="00106780">
        <w:rPr>
          <w:rFonts w:ascii="Arial" w:eastAsia="Calibri" w:hAnsi="Arial" w:cs="Arial"/>
        </w:rPr>
        <w:t xml:space="preserve">systému učinila </w:t>
      </w:r>
      <w:r>
        <w:rPr>
          <w:rFonts w:ascii="Arial" w:eastAsia="Calibri" w:hAnsi="Arial" w:cs="Arial"/>
        </w:rPr>
        <w:t xml:space="preserve">prostřednictvím MŠMT </w:t>
      </w:r>
      <w:r w:rsidR="00E12B73">
        <w:rPr>
          <w:rFonts w:ascii="Arial" w:eastAsia="Calibri" w:hAnsi="Arial" w:cs="Arial"/>
        </w:rPr>
        <w:t xml:space="preserve">i </w:t>
      </w:r>
      <w:r w:rsidRPr="00106780">
        <w:rPr>
          <w:rFonts w:ascii="Arial" w:eastAsia="Calibri" w:hAnsi="Arial" w:cs="Arial"/>
        </w:rPr>
        <w:t xml:space="preserve">řadu kroků </w:t>
      </w:r>
      <w:r>
        <w:rPr>
          <w:rFonts w:ascii="Arial" w:eastAsia="Calibri" w:hAnsi="Arial" w:cs="Arial"/>
        </w:rPr>
        <w:t>na</w:t>
      </w:r>
      <w:r w:rsidRPr="00106780">
        <w:rPr>
          <w:rFonts w:ascii="Arial" w:eastAsia="Calibri" w:hAnsi="Arial" w:cs="Arial"/>
        </w:rPr>
        <w:t>pomáhajících k vytv</w:t>
      </w:r>
      <w:r w:rsidR="00E12B73">
        <w:rPr>
          <w:rFonts w:ascii="Arial" w:eastAsia="Calibri" w:hAnsi="Arial" w:cs="Arial"/>
        </w:rPr>
        <w:t>o</w:t>
      </w:r>
      <w:r w:rsidRPr="00106780">
        <w:rPr>
          <w:rFonts w:ascii="Arial" w:eastAsia="Calibri" w:hAnsi="Arial" w:cs="Arial"/>
        </w:rPr>
        <w:t>ření stabilního prostředí pro jejich výstavbu, provoz</w:t>
      </w:r>
      <w:r>
        <w:rPr>
          <w:rFonts w:ascii="Arial" w:eastAsia="Calibri" w:hAnsi="Arial" w:cs="Arial"/>
        </w:rPr>
        <w:t>,</w:t>
      </w:r>
      <w:r w:rsidRPr="00106780">
        <w:rPr>
          <w:rFonts w:ascii="Arial" w:eastAsia="Calibri" w:hAnsi="Arial" w:cs="Arial"/>
        </w:rPr>
        <w:t xml:space="preserve"> další </w:t>
      </w:r>
      <w:r>
        <w:rPr>
          <w:rFonts w:ascii="Arial" w:eastAsia="Calibri" w:hAnsi="Arial" w:cs="Arial"/>
        </w:rPr>
        <w:t xml:space="preserve">investiční </w:t>
      </w:r>
      <w:r w:rsidRPr="00106780">
        <w:rPr>
          <w:rFonts w:ascii="Arial" w:eastAsia="Calibri" w:hAnsi="Arial" w:cs="Arial"/>
        </w:rPr>
        <w:t>rozvoj</w:t>
      </w:r>
      <w:r>
        <w:rPr>
          <w:rFonts w:ascii="Arial" w:eastAsia="Calibri" w:hAnsi="Arial" w:cs="Arial"/>
        </w:rPr>
        <w:t xml:space="preserve"> a mezinárodní spolupráci</w:t>
      </w:r>
      <w:r w:rsidRPr="00106780">
        <w:rPr>
          <w:rFonts w:ascii="Arial" w:eastAsia="Calibri" w:hAnsi="Arial" w:cs="Arial"/>
        </w:rPr>
        <w:t>.</w:t>
      </w:r>
    </w:p>
    <w:p w14:paraId="6838B7E9" w14:textId="77777777" w:rsidR="00DA126C" w:rsidRPr="00DA126C" w:rsidRDefault="00DA126C" w:rsidP="00DA126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vanish/>
          <w:u w:val="single"/>
        </w:rPr>
      </w:pPr>
    </w:p>
    <w:p w14:paraId="497D7C72" w14:textId="4DC70C89" w:rsidR="00DA126C" w:rsidRPr="00EB7026" w:rsidRDefault="00DA126C" w:rsidP="00DA126C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Legislativní rámec podpory z veřejných prostředků ČR</w:t>
      </w:r>
    </w:p>
    <w:p w14:paraId="6E1C0E95" w14:textId="77777777" w:rsidR="00DA126C" w:rsidRDefault="00DA126C" w:rsidP="00DA126C">
      <w:pPr>
        <w:spacing w:after="0" w:line="240" w:lineRule="auto"/>
        <w:jc w:val="both"/>
        <w:rPr>
          <w:rFonts w:ascii="Arial" w:eastAsia="Calibri" w:hAnsi="Arial" w:cs="Arial"/>
        </w:rPr>
      </w:pPr>
    </w:p>
    <w:p w14:paraId="054D11B0" w14:textId="77777777" w:rsidR="00810BF8" w:rsidRDefault="00DA126C" w:rsidP="00DA126C">
      <w:pPr>
        <w:spacing w:after="0" w:line="240" w:lineRule="auto"/>
        <w:jc w:val="both"/>
        <w:rPr>
          <w:rFonts w:ascii="Arial" w:eastAsia="Calibri" w:hAnsi="Arial" w:cs="Arial"/>
        </w:rPr>
      </w:pPr>
      <w:r w:rsidRPr="003E34CA">
        <w:rPr>
          <w:rFonts w:ascii="Arial" w:eastAsia="Calibri" w:hAnsi="Arial" w:cs="Arial"/>
          <w:bCs/>
        </w:rPr>
        <w:t>Velká výzkumná infrastruktura</w:t>
      </w:r>
      <w:r w:rsidRPr="003E34CA">
        <w:rPr>
          <w:rFonts w:ascii="Arial" w:eastAsia="Calibri" w:hAnsi="Arial" w:cs="Arial"/>
        </w:rPr>
        <w:t xml:space="preserve"> je </w:t>
      </w:r>
      <w:r w:rsidRPr="003A1787">
        <w:rPr>
          <w:rFonts w:ascii="Arial" w:eastAsia="Calibri" w:hAnsi="Arial" w:cs="Arial"/>
          <w:b/>
          <w:bCs/>
        </w:rPr>
        <w:t>ust. § 2 odst. 2 písm. d) zákona č. 130/2002 Sb., o podpoře výzkumu, experimentálního vývoje a inovací z veřejných prostředků</w:t>
      </w:r>
      <w:r w:rsidRPr="003E34CA">
        <w:rPr>
          <w:rFonts w:ascii="Arial" w:eastAsia="Calibri" w:hAnsi="Arial" w:cs="Arial"/>
        </w:rPr>
        <w:t xml:space="preserve"> a o změně některých souvisejících zákonů (zákon o podpoře výzkumu, experimentálního vývoje a inovací), ve znění pozdějších předpisů, právně definována jako „</w:t>
      </w:r>
      <w:r w:rsidRPr="003E34CA">
        <w:rPr>
          <w:rFonts w:ascii="Arial" w:eastAsia="Calibri" w:hAnsi="Arial" w:cs="Arial"/>
          <w:i/>
        </w:rPr>
        <w:t>výzkumná infrastruktura</w:t>
      </w:r>
      <w:r w:rsidRPr="003E34CA">
        <w:rPr>
          <w:rFonts w:ascii="Arial" w:eastAsia="Calibri" w:hAnsi="Arial" w:cs="Arial"/>
          <w:bCs/>
          <w:i/>
          <w:vertAlign w:val="superscript"/>
        </w:rPr>
        <w:footnoteReference w:id="1"/>
      </w:r>
      <w:r w:rsidRPr="003E34CA">
        <w:rPr>
          <w:rFonts w:ascii="Arial" w:eastAsia="Calibri" w:hAnsi="Arial" w:cs="Arial"/>
          <w:i/>
        </w:rPr>
        <w:t>, která je výzkumným zařízením nezbytným pro ucelenou výzkumnou a vývojovou činnost s vysokou finanční a technologickou náročností, která je schvalována vládou a zřizována pro využití též dalšími výzkumnými organizacemi.</w:t>
      </w:r>
      <w:r w:rsidRPr="003E34CA">
        <w:rPr>
          <w:rFonts w:ascii="Arial" w:eastAsia="Calibri" w:hAnsi="Arial" w:cs="Arial"/>
        </w:rPr>
        <w:t xml:space="preserve">“ </w:t>
      </w:r>
    </w:p>
    <w:p w14:paraId="05F03480" w14:textId="77777777" w:rsidR="00810BF8" w:rsidRDefault="00810BF8" w:rsidP="00DA126C">
      <w:pPr>
        <w:spacing w:after="0" w:line="240" w:lineRule="auto"/>
        <w:jc w:val="both"/>
        <w:rPr>
          <w:rFonts w:ascii="Arial" w:eastAsia="Calibri" w:hAnsi="Arial" w:cs="Arial"/>
        </w:rPr>
      </w:pPr>
    </w:p>
    <w:p w14:paraId="45685CEB" w14:textId="6A465065" w:rsidR="00DA126C" w:rsidRPr="00106780" w:rsidRDefault="00DA126C" w:rsidP="00DA126C">
      <w:pPr>
        <w:spacing w:after="0" w:line="240" w:lineRule="auto"/>
        <w:jc w:val="both"/>
        <w:rPr>
          <w:rFonts w:ascii="Arial" w:eastAsia="Calibri" w:hAnsi="Arial" w:cs="Arial"/>
        </w:rPr>
      </w:pPr>
      <w:r w:rsidRPr="003E34CA">
        <w:rPr>
          <w:rFonts w:ascii="Arial" w:eastAsia="Calibri" w:hAnsi="Arial" w:cs="Arial"/>
          <w:bCs/>
        </w:rPr>
        <w:t xml:space="preserve">Při vymezení pojmu </w:t>
      </w:r>
      <w:r w:rsidRPr="0084503D">
        <w:rPr>
          <w:rFonts w:ascii="Arial" w:eastAsia="Calibri" w:hAnsi="Arial" w:cs="Arial"/>
          <w:bCs/>
        </w:rPr>
        <w:t>„</w:t>
      </w:r>
      <w:r w:rsidRPr="0084503D">
        <w:rPr>
          <w:rFonts w:ascii="Arial" w:eastAsia="Calibri" w:hAnsi="Arial" w:cs="Arial"/>
          <w:bCs/>
          <w:i/>
        </w:rPr>
        <w:t>výzkumná infrastruktura</w:t>
      </w:r>
      <w:r w:rsidRPr="0084503D">
        <w:rPr>
          <w:rFonts w:ascii="Arial" w:eastAsia="Calibri" w:hAnsi="Arial" w:cs="Arial"/>
          <w:bCs/>
        </w:rPr>
        <w:t>“</w:t>
      </w:r>
      <w:r w:rsidRPr="003E34CA">
        <w:rPr>
          <w:rFonts w:ascii="Arial" w:eastAsia="Calibri" w:hAnsi="Arial" w:cs="Arial"/>
          <w:bCs/>
        </w:rPr>
        <w:t xml:space="preserve"> je </w:t>
      </w:r>
      <w:r w:rsidR="00810BF8">
        <w:rPr>
          <w:rFonts w:ascii="Arial" w:eastAsia="Calibri" w:hAnsi="Arial" w:cs="Arial"/>
          <w:bCs/>
        </w:rPr>
        <w:t xml:space="preserve">poté věcně příslušným ust. </w:t>
      </w:r>
      <w:r w:rsidRPr="003E34CA">
        <w:rPr>
          <w:rFonts w:ascii="Arial" w:eastAsia="Calibri" w:hAnsi="Arial" w:cs="Arial"/>
          <w:bCs/>
        </w:rPr>
        <w:t>zákon</w:t>
      </w:r>
      <w:r w:rsidR="00810BF8">
        <w:rPr>
          <w:rFonts w:ascii="Arial" w:eastAsia="Calibri" w:hAnsi="Arial" w:cs="Arial"/>
          <w:bCs/>
        </w:rPr>
        <w:t>a</w:t>
      </w:r>
      <w:r w:rsidRPr="003E34CA">
        <w:rPr>
          <w:rFonts w:ascii="Arial" w:eastAsia="Calibri" w:hAnsi="Arial" w:cs="Arial"/>
          <w:bCs/>
        </w:rPr>
        <w:t xml:space="preserve"> o podpoře výzkumu, experimentálního vývoje a inovací odkazováno na definici výzkumné infrastruktury, jak je </w:t>
      </w:r>
      <w:r w:rsidR="00F05EF9">
        <w:rPr>
          <w:rFonts w:ascii="Arial" w:eastAsia="Calibri" w:hAnsi="Arial" w:cs="Arial"/>
          <w:bCs/>
        </w:rPr>
        <w:t>určena</w:t>
      </w:r>
      <w:r w:rsidRPr="003E34CA">
        <w:rPr>
          <w:rFonts w:ascii="Arial" w:eastAsia="Calibri" w:hAnsi="Arial" w:cs="Arial"/>
          <w:bCs/>
        </w:rPr>
        <w:t xml:space="preserve"> </w:t>
      </w:r>
      <w:r w:rsidRPr="00810BF8">
        <w:rPr>
          <w:rFonts w:ascii="Arial" w:eastAsia="Calibri" w:hAnsi="Arial" w:cs="Arial"/>
          <w:b/>
        </w:rPr>
        <w:t xml:space="preserve">Rámcem pro státní podporu </w:t>
      </w:r>
      <w:r w:rsidR="00F05EF9" w:rsidRPr="00810BF8">
        <w:rPr>
          <w:rFonts w:ascii="Arial" w:eastAsia="Calibri" w:hAnsi="Arial" w:cs="Arial"/>
          <w:b/>
        </w:rPr>
        <w:t>VaVaI</w:t>
      </w:r>
      <w:r w:rsidRPr="00810BF8">
        <w:rPr>
          <w:rFonts w:ascii="Arial" w:eastAsia="Calibri" w:hAnsi="Arial" w:cs="Arial"/>
          <w:b/>
        </w:rPr>
        <w:t xml:space="preserve"> </w:t>
      </w:r>
      <w:bookmarkStart w:id="0" w:name="_Hlk118378718"/>
      <w:r w:rsidR="00326F62">
        <w:rPr>
          <w:rFonts w:ascii="Arial" w:eastAsia="Calibri" w:hAnsi="Arial" w:cs="Arial"/>
          <w:b/>
        </w:rPr>
        <w:t>(</w:t>
      </w:r>
      <w:r w:rsidR="00326F62" w:rsidRPr="00326F62">
        <w:rPr>
          <w:rFonts w:ascii="Arial" w:eastAsia="Calibri" w:hAnsi="Arial" w:cs="Arial"/>
          <w:b/>
        </w:rPr>
        <w:t>2022/C 414/01</w:t>
      </w:r>
      <w:r w:rsidRPr="00810BF8">
        <w:rPr>
          <w:rFonts w:ascii="Arial" w:eastAsia="Calibri" w:hAnsi="Arial" w:cs="Arial"/>
          <w:b/>
        </w:rPr>
        <w:t>)</w:t>
      </w:r>
      <w:bookmarkEnd w:id="0"/>
      <w:r w:rsidRPr="00810BF8">
        <w:rPr>
          <w:rFonts w:ascii="Arial" w:eastAsia="Calibri" w:hAnsi="Arial" w:cs="Arial"/>
          <w:b/>
        </w:rPr>
        <w:t xml:space="preserve"> </w:t>
      </w:r>
      <w:r w:rsidRPr="00810BF8">
        <w:rPr>
          <w:rFonts w:ascii="Arial" w:eastAsia="Calibri" w:hAnsi="Arial" w:cs="Arial"/>
          <w:bCs/>
        </w:rPr>
        <w:t>a</w:t>
      </w:r>
      <w:r w:rsidRPr="00810BF8">
        <w:rPr>
          <w:rFonts w:ascii="Arial" w:eastAsia="Calibri" w:hAnsi="Arial" w:cs="Arial"/>
          <w:b/>
        </w:rPr>
        <w:t xml:space="preserve"> Nařízením Komise (EU) č.</w:t>
      </w:r>
      <w:r w:rsidR="00810BF8" w:rsidRPr="00810BF8">
        <w:rPr>
          <w:rFonts w:ascii="Arial" w:eastAsia="Calibri" w:hAnsi="Arial" w:cs="Arial"/>
          <w:b/>
        </w:rPr>
        <w:t> </w:t>
      </w:r>
      <w:r w:rsidRPr="00810BF8">
        <w:rPr>
          <w:rFonts w:ascii="Arial" w:eastAsia="Calibri" w:hAnsi="Arial" w:cs="Arial"/>
          <w:b/>
        </w:rPr>
        <w:t xml:space="preserve">651/2014 ze dne 17. června 2014, </w:t>
      </w:r>
      <w:r w:rsidR="00810BF8">
        <w:rPr>
          <w:rFonts w:ascii="Arial" w:eastAsia="Calibri" w:hAnsi="Arial" w:cs="Arial"/>
          <w:b/>
        </w:rPr>
        <w:t>jímž</w:t>
      </w:r>
      <w:r w:rsidRPr="00810BF8">
        <w:rPr>
          <w:rFonts w:ascii="Arial" w:eastAsia="Calibri" w:hAnsi="Arial" w:cs="Arial"/>
          <w:b/>
        </w:rPr>
        <w:t xml:space="preserve"> se v souladu s čl. 107 a 108 Smlouvy prohlašují určité kategorie podpory za slučitelné s vnitřním trhem</w:t>
      </w:r>
      <w:r w:rsidRPr="003E34CA">
        <w:rPr>
          <w:rFonts w:ascii="Arial" w:eastAsia="Calibri" w:hAnsi="Arial" w:cs="Arial"/>
          <w:bCs/>
        </w:rPr>
        <w:t>.</w:t>
      </w:r>
    </w:p>
    <w:p w14:paraId="4FC187B3" w14:textId="77777777" w:rsidR="00DA126C" w:rsidRPr="00106780" w:rsidRDefault="00DA126C" w:rsidP="00DA126C">
      <w:pPr>
        <w:spacing w:after="0" w:line="240" w:lineRule="auto"/>
        <w:jc w:val="both"/>
        <w:rPr>
          <w:rFonts w:ascii="Arial" w:eastAsia="Calibri" w:hAnsi="Arial" w:cs="Arial"/>
        </w:rPr>
      </w:pPr>
    </w:p>
    <w:p w14:paraId="4E7FC02F" w14:textId="77777777" w:rsidR="00DA126C" w:rsidRDefault="00DA126C" w:rsidP="00DA126C">
      <w:pPr>
        <w:spacing w:after="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>V praxi je v</w:t>
      </w:r>
      <w:r w:rsidRPr="003E34CA">
        <w:rPr>
          <w:rFonts w:ascii="Arial" w:eastAsia="Calibri" w:hAnsi="Arial" w:cs="Arial"/>
        </w:rPr>
        <w:t>elk</w:t>
      </w:r>
      <w:r>
        <w:rPr>
          <w:rFonts w:ascii="Arial" w:eastAsia="Calibri" w:hAnsi="Arial" w:cs="Arial"/>
        </w:rPr>
        <w:t>ou</w:t>
      </w:r>
      <w:r w:rsidRPr="003E34CA">
        <w:rPr>
          <w:rFonts w:ascii="Arial" w:eastAsia="Calibri" w:hAnsi="Arial" w:cs="Arial"/>
        </w:rPr>
        <w:t xml:space="preserve"> výzkumn</w:t>
      </w:r>
      <w:r>
        <w:rPr>
          <w:rFonts w:ascii="Arial" w:eastAsia="Calibri" w:hAnsi="Arial" w:cs="Arial"/>
        </w:rPr>
        <w:t>ou</w:t>
      </w:r>
      <w:r w:rsidRPr="003E34CA">
        <w:rPr>
          <w:rFonts w:ascii="Arial" w:eastAsia="Calibri" w:hAnsi="Arial" w:cs="Arial"/>
        </w:rPr>
        <w:t xml:space="preserve"> infrastruktur</w:t>
      </w:r>
      <w:r>
        <w:rPr>
          <w:rFonts w:ascii="Arial" w:eastAsia="Calibri" w:hAnsi="Arial" w:cs="Arial"/>
        </w:rPr>
        <w:t>ou</w:t>
      </w:r>
      <w:r w:rsidRPr="003E34CA">
        <w:rPr>
          <w:rFonts w:ascii="Arial" w:eastAsia="Calibri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t xml:space="preserve">zpravidla </w:t>
      </w:r>
      <w:r w:rsidRPr="003E34CA">
        <w:rPr>
          <w:rFonts w:ascii="Arial" w:eastAsia="Calibri" w:hAnsi="Arial" w:cs="Arial"/>
          <w:b/>
        </w:rPr>
        <w:t>jedinečn</w:t>
      </w:r>
      <w:r w:rsidRPr="009651B9">
        <w:rPr>
          <w:rFonts w:ascii="Arial" w:eastAsia="Calibri" w:hAnsi="Arial" w:cs="Arial"/>
          <w:b/>
        </w:rPr>
        <w:t xml:space="preserve">é, resp. </w:t>
      </w:r>
      <w:r w:rsidRPr="003E34CA">
        <w:rPr>
          <w:rFonts w:ascii="Arial" w:eastAsia="Calibri" w:hAnsi="Arial" w:cs="Arial"/>
          <w:b/>
        </w:rPr>
        <w:t>výjimečn</w:t>
      </w:r>
      <w:r w:rsidRPr="009651B9">
        <w:rPr>
          <w:rFonts w:ascii="Arial" w:eastAsia="Calibri" w:hAnsi="Arial" w:cs="Arial"/>
          <w:b/>
        </w:rPr>
        <w:t>é</w:t>
      </w:r>
      <w:r w:rsidRPr="003E34CA">
        <w:rPr>
          <w:rFonts w:ascii="Arial" w:eastAsia="Calibri" w:hAnsi="Arial" w:cs="Arial"/>
          <w:b/>
        </w:rPr>
        <w:t xml:space="preserve"> výzkumn</w:t>
      </w:r>
      <w:r w:rsidRPr="009651B9">
        <w:rPr>
          <w:rFonts w:ascii="Arial" w:eastAsia="Calibri" w:hAnsi="Arial" w:cs="Arial"/>
          <w:b/>
        </w:rPr>
        <w:t>é</w:t>
      </w:r>
      <w:r w:rsidRPr="003E34CA">
        <w:rPr>
          <w:rFonts w:ascii="Arial" w:eastAsia="Calibri" w:hAnsi="Arial" w:cs="Arial"/>
          <w:b/>
        </w:rPr>
        <w:t xml:space="preserve"> zařízení</w:t>
      </w:r>
      <w:r w:rsidRPr="003E34CA">
        <w:rPr>
          <w:rFonts w:ascii="Arial" w:eastAsia="Calibri" w:hAnsi="Arial" w:cs="Arial"/>
          <w:bCs/>
        </w:rPr>
        <w:t xml:space="preserve"> o vysoké znalostní a technologické náročnosti. Může se jednat např. o experimentální přístroje ve smyslu laboratorního vybavení; zdroje znalostí, jakými jsou archivy a sbírky; </w:t>
      </w:r>
      <w:r>
        <w:rPr>
          <w:rFonts w:ascii="Arial" w:eastAsia="Calibri" w:hAnsi="Arial" w:cs="Arial"/>
          <w:bCs/>
        </w:rPr>
        <w:t>anebo</w:t>
      </w:r>
      <w:r w:rsidRPr="003E34CA">
        <w:rPr>
          <w:rFonts w:ascii="Arial" w:eastAsia="Calibri" w:hAnsi="Arial" w:cs="Arial"/>
          <w:bCs/>
        </w:rPr>
        <w:t xml:space="preserve"> informační a komunikační technologie</w:t>
      </w:r>
      <w:r>
        <w:rPr>
          <w:rFonts w:ascii="Arial" w:eastAsia="Calibri" w:hAnsi="Arial" w:cs="Arial"/>
          <w:bCs/>
        </w:rPr>
        <w:t>, jež jsou</w:t>
      </w:r>
      <w:r w:rsidRPr="003E34CA">
        <w:rPr>
          <w:rFonts w:ascii="Arial" w:eastAsia="Calibri" w:hAnsi="Arial" w:cs="Arial"/>
          <w:bCs/>
        </w:rPr>
        <w:t xml:space="preserve"> nezbytné </w:t>
      </w:r>
      <w:r>
        <w:rPr>
          <w:rFonts w:ascii="Arial" w:eastAsia="Calibri" w:hAnsi="Arial" w:cs="Arial"/>
          <w:bCs/>
        </w:rPr>
        <w:t>k</w:t>
      </w:r>
      <w:r w:rsidRPr="003E34CA">
        <w:rPr>
          <w:rFonts w:ascii="Arial" w:eastAsia="Calibri" w:hAnsi="Arial" w:cs="Arial"/>
          <w:bCs/>
        </w:rPr>
        <w:t xml:space="preserve"> realizaci znalostně </w:t>
      </w:r>
      <w:r>
        <w:rPr>
          <w:rFonts w:ascii="Arial" w:eastAsia="Calibri" w:hAnsi="Arial" w:cs="Arial"/>
          <w:bCs/>
        </w:rPr>
        <w:t xml:space="preserve">/ </w:t>
      </w:r>
      <w:r w:rsidRPr="003E34CA">
        <w:rPr>
          <w:rFonts w:ascii="Arial" w:eastAsia="Calibri" w:hAnsi="Arial" w:cs="Arial"/>
          <w:bCs/>
        </w:rPr>
        <w:t xml:space="preserve">technologicky náročného </w:t>
      </w:r>
      <w:r>
        <w:rPr>
          <w:rFonts w:ascii="Arial" w:eastAsia="Calibri" w:hAnsi="Arial" w:cs="Arial"/>
          <w:bCs/>
        </w:rPr>
        <w:t>VaVaI</w:t>
      </w:r>
      <w:r w:rsidRPr="003E34CA">
        <w:rPr>
          <w:rFonts w:ascii="Arial" w:eastAsia="Calibri" w:hAnsi="Arial" w:cs="Arial"/>
          <w:bCs/>
        </w:rPr>
        <w:t xml:space="preserve">. S ohledem na </w:t>
      </w:r>
      <w:r>
        <w:rPr>
          <w:rFonts w:ascii="Arial" w:eastAsia="Calibri" w:hAnsi="Arial" w:cs="Arial"/>
          <w:bCs/>
        </w:rPr>
        <w:t xml:space="preserve">jejich </w:t>
      </w:r>
      <w:r w:rsidRPr="003E34CA">
        <w:rPr>
          <w:rFonts w:ascii="Arial" w:eastAsia="Calibri" w:hAnsi="Arial" w:cs="Arial"/>
          <w:bCs/>
        </w:rPr>
        <w:t xml:space="preserve">věcnou podstatu se </w:t>
      </w:r>
      <w:r>
        <w:rPr>
          <w:rFonts w:ascii="Arial" w:eastAsia="Calibri" w:hAnsi="Arial" w:cs="Arial"/>
          <w:bCs/>
        </w:rPr>
        <w:t>u</w:t>
      </w:r>
      <w:r w:rsidRPr="003E34CA">
        <w:rPr>
          <w:rFonts w:ascii="Arial" w:eastAsia="Calibri" w:hAnsi="Arial" w:cs="Arial"/>
          <w:bCs/>
        </w:rPr>
        <w:t xml:space="preserve"> velkých výzkumných infrastruktur obvykle jedná o vědecká zařízení </w:t>
      </w:r>
      <w:r>
        <w:rPr>
          <w:rFonts w:ascii="Arial" w:eastAsia="Calibri" w:hAnsi="Arial" w:cs="Arial"/>
          <w:bCs/>
        </w:rPr>
        <w:t xml:space="preserve">mající </w:t>
      </w:r>
      <w:r w:rsidRPr="003E34CA">
        <w:rPr>
          <w:rFonts w:ascii="Arial" w:eastAsia="Calibri" w:hAnsi="Arial" w:cs="Arial"/>
          <w:bCs/>
        </w:rPr>
        <w:t>celonárodní dopad v</w:t>
      </w:r>
      <w:r>
        <w:rPr>
          <w:rFonts w:ascii="Arial" w:eastAsia="Calibri" w:hAnsi="Arial" w:cs="Arial"/>
          <w:bCs/>
        </w:rPr>
        <w:t> </w:t>
      </w:r>
      <w:r w:rsidRPr="003E34CA">
        <w:rPr>
          <w:rFonts w:ascii="Arial" w:eastAsia="Calibri" w:hAnsi="Arial" w:cs="Arial"/>
          <w:bCs/>
        </w:rPr>
        <w:t>ČR</w:t>
      </w:r>
      <w:r>
        <w:rPr>
          <w:rFonts w:ascii="Arial" w:eastAsia="Calibri" w:hAnsi="Arial" w:cs="Arial"/>
          <w:bCs/>
        </w:rPr>
        <w:t xml:space="preserve"> i</w:t>
      </w:r>
      <w:r w:rsidRPr="003E34CA">
        <w:rPr>
          <w:rFonts w:ascii="Arial" w:eastAsia="Calibri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t>velký</w:t>
      </w:r>
      <w:r w:rsidRPr="003E34CA">
        <w:rPr>
          <w:rFonts w:ascii="Arial" w:eastAsia="Calibri" w:hAnsi="Arial" w:cs="Arial"/>
          <w:bCs/>
        </w:rPr>
        <w:t xml:space="preserve"> mezinárodní přesah. </w:t>
      </w:r>
    </w:p>
    <w:p w14:paraId="15FCA2F8" w14:textId="77777777" w:rsidR="00DA126C" w:rsidRDefault="00DA126C" w:rsidP="00DA126C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7E4AB588" w14:textId="4FED0EB8" w:rsidR="00DA126C" w:rsidRDefault="00DA126C" w:rsidP="00DA126C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Cs/>
        </w:rPr>
        <w:t>V</w:t>
      </w:r>
      <w:r w:rsidRPr="003E34CA">
        <w:rPr>
          <w:rFonts w:ascii="Arial" w:eastAsia="Calibri" w:hAnsi="Arial" w:cs="Arial"/>
          <w:bCs/>
        </w:rPr>
        <w:t xml:space="preserve">ýzkumná infrastruktura </w:t>
      </w:r>
      <w:r>
        <w:rPr>
          <w:rFonts w:ascii="Arial" w:eastAsia="Calibri" w:hAnsi="Arial" w:cs="Arial"/>
          <w:bCs/>
        </w:rPr>
        <w:t xml:space="preserve">se tedy stává </w:t>
      </w:r>
      <w:r w:rsidRPr="00F74B30">
        <w:rPr>
          <w:rFonts w:ascii="Arial" w:eastAsia="Calibri" w:hAnsi="Arial" w:cs="Arial"/>
          <w:bCs/>
          <w:i/>
          <w:iCs/>
        </w:rPr>
        <w:t>velkou</w:t>
      </w:r>
      <w:r w:rsidRPr="003E34CA">
        <w:rPr>
          <w:rFonts w:ascii="Arial" w:eastAsia="Calibri" w:hAnsi="Arial" w:cs="Arial"/>
          <w:bCs/>
        </w:rPr>
        <w:t xml:space="preserve"> díky své expertíze</w:t>
      </w:r>
      <w:r>
        <w:rPr>
          <w:rFonts w:ascii="Arial" w:eastAsia="Calibri" w:hAnsi="Arial" w:cs="Arial"/>
          <w:bCs/>
        </w:rPr>
        <w:t xml:space="preserve"> a dopadu</w:t>
      </w:r>
      <w:r w:rsidRPr="003E34CA">
        <w:rPr>
          <w:rFonts w:ascii="Arial" w:eastAsia="Calibri" w:hAnsi="Arial" w:cs="Arial"/>
          <w:bCs/>
        </w:rPr>
        <w:t xml:space="preserve">. </w:t>
      </w:r>
      <w:r>
        <w:rPr>
          <w:rFonts w:ascii="Arial" w:eastAsia="Calibri" w:hAnsi="Arial" w:cs="Arial"/>
          <w:bCs/>
        </w:rPr>
        <w:t>Nicméně</w:t>
      </w:r>
      <w:r w:rsidRPr="003E34CA">
        <w:rPr>
          <w:rFonts w:ascii="Arial" w:eastAsia="Calibri" w:hAnsi="Arial" w:cs="Arial"/>
          <w:bCs/>
        </w:rPr>
        <w:t xml:space="preserve"> současně musí kumulativně naplňovat </w:t>
      </w:r>
      <w:r>
        <w:rPr>
          <w:rFonts w:ascii="Arial" w:eastAsia="Calibri" w:hAnsi="Arial" w:cs="Arial"/>
          <w:bCs/>
        </w:rPr>
        <w:t xml:space="preserve">také </w:t>
      </w:r>
      <w:r w:rsidRPr="003E34CA">
        <w:rPr>
          <w:rFonts w:ascii="Arial" w:eastAsia="Calibri" w:hAnsi="Arial" w:cs="Arial"/>
          <w:bCs/>
        </w:rPr>
        <w:t xml:space="preserve">kritérium tzv. </w:t>
      </w:r>
      <w:r w:rsidRPr="003E34CA">
        <w:rPr>
          <w:rFonts w:ascii="Arial" w:eastAsia="Calibri" w:hAnsi="Arial" w:cs="Arial"/>
          <w:b/>
        </w:rPr>
        <w:t xml:space="preserve">otevřeného přístupu </w:t>
      </w:r>
      <w:r w:rsidRPr="003E34CA">
        <w:rPr>
          <w:rFonts w:ascii="Arial" w:eastAsia="Calibri" w:hAnsi="Arial" w:cs="Arial"/>
          <w:bCs/>
        </w:rPr>
        <w:t xml:space="preserve">k jejím kapacitám, kdy je zpřístupněna jakémukoliv vědci </w:t>
      </w:r>
      <w:r>
        <w:rPr>
          <w:rFonts w:ascii="Arial" w:eastAsia="Calibri" w:hAnsi="Arial" w:cs="Arial"/>
          <w:bCs/>
        </w:rPr>
        <w:t>anebo</w:t>
      </w:r>
      <w:r w:rsidRPr="003E34CA">
        <w:rPr>
          <w:rFonts w:ascii="Arial" w:eastAsia="Calibri" w:hAnsi="Arial" w:cs="Arial"/>
          <w:bCs/>
        </w:rPr>
        <w:t xml:space="preserve"> výzkumné skupině nezávisle na jejich afiliaci k</w:t>
      </w:r>
      <w:r>
        <w:rPr>
          <w:rFonts w:ascii="Arial" w:eastAsia="Calibri" w:hAnsi="Arial" w:cs="Arial"/>
          <w:bCs/>
        </w:rPr>
        <w:t xml:space="preserve"> jejich </w:t>
      </w:r>
      <w:r w:rsidRPr="003E34CA">
        <w:rPr>
          <w:rFonts w:ascii="Arial" w:eastAsia="Calibri" w:hAnsi="Arial" w:cs="Arial"/>
          <w:bCs/>
        </w:rPr>
        <w:t xml:space="preserve">mateřské instituci. Všeobecně </w:t>
      </w:r>
      <w:r>
        <w:rPr>
          <w:rFonts w:ascii="Arial" w:eastAsia="Calibri" w:hAnsi="Arial" w:cs="Arial"/>
          <w:bCs/>
        </w:rPr>
        <w:t>proto</w:t>
      </w:r>
      <w:r w:rsidRPr="003E34CA">
        <w:rPr>
          <w:rFonts w:ascii="Arial" w:eastAsia="Calibri" w:hAnsi="Arial" w:cs="Arial"/>
          <w:bCs/>
        </w:rPr>
        <w:t xml:space="preserve"> platí, že každý vědec disponuje možností tu či onu velkou výzkumnou infrastrukturu využívat</w:t>
      </w:r>
      <w:r>
        <w:rPr>
          <w:rFonts w:ascii="Arial" w:eastAsia="Calibri" w:hAnsi="Arial" w:cs="Arial"/>
          <w:bCs/>
        </w:rPr>
        <w:t xml:space="preserve"> </w:t>
      </w:r>
      <w:r w:rsidRPr="003E34CA">
        <w:rPr>
          <w:rFonts w:ascii="Arial" w:eastAsia="Calibri" w:hAnsi="Arial" w:cs="Arial"/>
          <w:bCs/>
        </w:rPr>
        <w:t>v souladu s její politik</w:t>
      </w:r>
      <w:r>
        <w:rPr>
          <w:rFonts w:ascii="Arial" w:eastAsia="Calibri" w:hAnsi="Arial" w:cs="Arial"/>
          <w:bCs/>
        </w:rPr>
        <w:t>ou</w:t>
      </w:r>
      <w:r w:rsidRPr="003E34CA">
        <w:rPr>
          <w:rFonts w:ascii="Arial" w:eastAsia="Calibri" w:hAnsi="Arial" w:cs="Arial"/>
          <w:bCs/>
        </w:rPr>
        <w:t xml:space="preserve"> otevřeného přístupu.</w:t>
      </w:r>
    </w:p>
    <w:p w14:paraId="4286D3F0" w14:textId="77777777" w:rsidR="00DA126C" w:rsidRDefault="00DA126C" w:rsidP="00106780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14:paraId="687C3F69" w14:textId="68CA01FD" w:rsidR="001B2E5D" w:rsidRPr="00EB7026" w:rsidRDefault="009C6116" w:rsidP="00DA126C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Gestor agendy</w:t>
      </w:r>
    </w:p>
    <w:p w14:paraId="4C5EB616" w14:textId="77777777" w:rsidR="001B2E5D" w:rsidRPr="00106780" w:rsidRDefault="001B2E5D" w:rsidP="00106780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14:paraId="43244789" w14:textId="657D830B" w:rsidR="00315CC0" w:rsidRDefault="00DA1151" w:rsidP="00106780">
      <w:pPr>
        <w:spacing w:after="0" w:line="240" w:lineRule="auto"/>
        <w:jc w:val="both"/>
        <w:rPr>
          <w:rFonts w:ascii="Arial" w:hAnsi="Arial" w:cs="Arial"/>
          <w:bCs/>
        </w:rPr>
      </w:pPr>
      <w:r w:rsidRPr="003E1E9F">
        <w:rPr>
          <w:rFonts w:ascii="Arial" w:hAnsi="Arial" w:cs="Arial"/>
          <w:bCs/>
        </w:rPr>
        <w:t>Gestorem agendy velký</w:t>
      </w:r>
      <w:r>
        <w:rPr>
          <w:rFonts w:ascii="Arial" w:eastAsia="Calibri" w:hAnsi="Arial" w:cs="Arial"/>
          <w:bCs/>
        </w:rPr>
        <w:t>ch</w:t>
      </w:r>
      <w:r w:rsidRPr="003E1E9F">
        <w:rPr>
          <w:rFonts w:ascii="Arial" w:hAnsi="Arial" w:cs="Arial"/>
          <w:bCs/>
        </w:rPr>
        <w:t xml:space="preserve"> výzkumný</w:t>
      </w:r>
      <w:r>
        <w:rPr>
          <w:rFonts w:ascii="Arial" w:eastAsia="Calibri" w:hAnsi="Arial" w:cs="Arial"/>
          <w:bCs/>
        </w:rPr>
        <w:t>ch</w:t>
      </w:r>
      <w:r w:rsidRPr="003E1E9F">
        <w:rPr>
          <w:rFonts w:ascii="Arial" w:hAnsi="Arial" w:cs="Arial"/>
          <w:bCs/>
        </w:rPr>
        <w:t xml:space="preserve"> infrastruktur</w:t>
      </w:r>
      <w:r>
        <w:rPr>
          <w:rFonts w:ascii="Arial" w:eastAsia="Calibri" w:hAnsi="Arial" w:cs="Arial"/>
          <w:bCs/>
        </w:rPr>
        <w:t xml:space="preserve"> je </w:t>
      </w:r>
      <w:r w:rsidRPr="00DA1151">
        <w:rPr>
          <w:rFonts w:ascii="Arial" w:eastAsia="Calibri" w:hAnsi="Arial" w:cs="Arial"/>
          <w:b/>
        </w:rPr>
        <w:t xml:space="preserve">MŠMT, </w:t>
      </w:r>
      <w:r>
        <w:rPr>
          <w:rFonts w:ascii="Arial" w:eastAsia="Calibri" w:hAnsi="Arial" w:cs="Arial"/>
          <w:b/>
        </w:rPr>
        <w:t>jež</w:t>
      </w:r>
      <w:r w:rsidRPr="00DA1151">
        <w:rPr>
          <w:rFonts w:ascii="Arial" w:eastAsia="Calibri" w:hAnsi="Arial" w:cs="Arial"/>
          <w:b/>
        </w:rPr>
        <w:t xml:space="preserve"> stanovuje koncepci jejich </w:t>
      </w:r>
      <w:r w:rsidRPr="00CB7595">
        <w:rPr>
          <w:rFonts w:ascii="Arial" w:eastAsia="Calibri" w:hAnsi="Arial" w:cs="Arial"/>
          <w:b/>
        </w:rPr>
        <w:t xml:space="preserve">podpory </w:t>
      </w:r>
      <w:r w:rsidRPr="00CB7595">
        <w:rPr>
          <w:rFonts w:ascii="Arial" w:eastAsia="Calibri" w:hAnsi="Arial" w:cs="Arial"/>
          <w:bCs/>
        </w:rPr>
        <w:t>z veřejných prostředků ČR</w:t>
      </w:r>
      <w:r w:rsidRPr="00DA1151">
        <w:rPr>
          <w:rFonts w:ascii="Arial" w:eastAsia="Calibri" w:hAnsi="Arial" w:cs="Arial"/>
          <w:bCs/>
        </w:rPr>
        <w:t xml:space="preserve"> a</w:t>
      </w:r>
      <w:r>
        <w:rPr>
          <w:rFonts w:ascii="Arial" w:eastAsia="Calibri" w:hAnsi="Arial" w:cs="Arial"/>
          <w:bCs/>
        </w:rPr>
        <w:t xml:space="preserve"> poskytuje velkým výzkumným infrastrukturám účelovou podporu z výdajů státního rozpočtu ČR na VaVaI</w:t>
      </w:r>
      <w:r w:rsidR="00F05EF9">
        <w:rPr>
          <w:rFonts w:ascii="Arial" w:eastAsia="Calibri" w:hAnsi="Arial" w:cs="Arial"/>
          <w:bCs/>
        </w:rPr>
        <w:t xml:space="preserve"> podle</w:t>
      </w:r>
      <w:r>
        <w:rPr>
          <w:rFonts w:ascii="Arial" w:eastAsia="Calibri" w:hAnsi="Arial" w:cs="Arial"/>
          <w:bCs/>
        </w:rPr>
        <w:t xml:space="preserve"> </w:t>
      </w:r>
      <w:r w:rsidRPr="003E1E9F">
        <w:rPr>
          <w:rFonts w:ascii="Arial" w:hAnsi="Arial" w:cs="Arial"/>
          <w:bCs/>
        </w:rPr>
        <w:t xml:space="preserve">ust. § </w:t>
      </w:r>
      <w:r>
        <w:rPr>
          <w:rFonts w:ascii="Arial" w:eastAsia="Calibri" w:hAnsi="Arial" w:cs="Arial"/>
          <w:bCs/>
        </w:rPr>
        <w:t xml:space="preserve">33 odst. 2 písm. b), </w:t>
      </w:r>
      <w:r w:rsidRPr="005C1013">
        <w:rPr>
          <w:rFonts w:ascii="Arial" w:eastAsia="Calibri" w:hAnsi="Arial" w:cs="Arial"/>
          <w:bCs/>
        </w:rPr>
        <w:t>§ 3</w:t>
      </w:r>
      <w:r>
        <w:rPr>
          <w:rFonts w:ascii="Arial" w:eastAsia="Calibri" w:hAnsi="Arial" w:cs="Arial"/>
          <w:bCs/>
        </w:rPr>
        <w:t xml:space="preserve"> odst. 2 písm. d) a </w:t>
      </w:r>
      <w:r w:rsidRPr="00AE4395">
        <w:rPr>
          <w:rFonts w:ascii="Arial" w:eastAsia="Calibri" w:hAnsi="Arial" w:cs="Arial"/>
          <w:bCs/>
        </w:rPr>
        <w:t xml:space="preserve">§ </w:t>
      </w:r>
      <w:r w:rsidRPr="003E1E9F">
        <w:rPr>
          <w:rFonts w:ascii="Arial" w:hAnsi="Arial" w:cs="Arial"/>
          <w:bCs/>
        </w:rPr>
        <w:t xml:space="preserve">4 odst. 1 písm. e) zákona o podpoře výzkumu, experimentálního vývoje a inovací. </w:t>
      </w:r>
    </w:p>
    <w:p w14:paraId="653A9B34" w14:textId="77777777" w:rsidR="00315CC0" w:rsidRDefault="00315CC0" w:rsidP="00106780">
      <w:pPr>
        <w:spacing w:after="0" w:line="240" w:lineRule="auto"/>
        <w:jc w:val="both"/>
        <w:rPr>
          <w:rFonts w:ascii="Arial" w:hAnsi="Arial" w:cs="Arial"/>
          <w:bCs/>
        </w:rPr>
      </w:pPr>
    </w:p>
    <w:p w14:paraId="3408E17A" w14:textId="2063E2EC" w:rsidR="009C6116" w:rsidRDefault="00DA1151" w:rsidP="00106780">
      <w:pPr>
        <w:spacing w:after="0" w:line="240" w:lineRule="auto"/>
        <w:jc w:val="both"/>
        <w:rPr>
          <w:rFonts w:ascii="Arial" w:hAnsi="Arial" w:cs="Arial"/>
          <w:bCs/>
        </w:rPr>
      </w:pPr>
      <w:r w:rsidRPr="003E1E9F">
        <w:rPr>
          <w:rFonts w:ascii="Arial" w:hAnsi="Arial" w:cs="Arial"/>
          <w:bCs/>
        </w:rPr>
        <w:t xml:space="preserve">V postavení gestora mezinárodní spolupráce ČR ve </w:t>
      </w:r>
      <w:r w:rsidR="00F05EF9">
        <w:rPr>
          <w:rFonts w:ascii="Arial" w:hAnsi="Arial" w:cs="Arial"/>
          <w:bCs/>
        </w:rPr>
        <w:t>VaVaI</w:t>
      </w:r>
      <w:r w:rsidRPr="003E1E9F">
        <w:rPr>
          <w:rFonts w:ascii="Arial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t>v souladu s</w:t>
      </w:r>
      <w:r w:rsidRPr="003E1E9F">
        <w:rPr>
          <w:rFonts w:ascii="Arial" w:hAnsi="Arial" w:cs="Arial"/>
          <w:bCs/>
        </w:rPr>
        <w:t xml:space="preserve"> ust. § 7 odst. 1 zákona č. 2/1969 Sb., o zřízení ministerstev a jiných ústředních orgánů státní správy ČR</w:t>
      </w:r>
      <w:r w:rsidR="00315CC0">
        <w:rPr>
          <w:rFonts w:ascii="Arial" w:hAnsi="Arial" w:cs="Arial"/>
          <w:bCs/>
        </w:rPr>
        <w:t xml:space="preserve">, </w:t>
      </w:r>
      <w:r w:rsidR="00C63440">
        <w:rPr>
          <w:rFonts w:ascii="Arial" w:hAnsi="Arial" w:cs="Arial"/>
          <w:bCs/>
        </w:rPr>
        <w:t xml:space="preserve">ve znění pozdějších předpisů, </w:t>
      </w:r>
      <w:r w:rsidRPr="003E1E9F">
        <w:rPr>
          <w:rFonts w:ascii="Arial" w:hAnsi="Arial" w:cs="Arial"/>
          <w:bCs/>
        </w:rPr>
        <w:t xml:space="preserve">a ust. § 33 odst. 2 zákona o podpoře výzkumu, experimentálního vývoje a inovací </w:t>
      </w:r>
      <w:r w:rsidR="00CB7595">
        <w:rPr>
          <w:rFonts w:ascii="Arial" w:eastAsia="Calibri" w:hAnsi="Arial" w:cs="Arial"/>
          <w:b/>
        </w:rPr>
        <w:t xml:space="preserve">MŠMT </w:t>
      </w:r>
      <w:r w:rsidRPr="003E1E9F">
        <w:rPr>
          <w:rFonts w:ascii="Arial" w:hAnsi="Arial" w:cs="Arial"/>
          <w:b/>
        </w:rPr>
        <w:t>podporuje</w:t>
      </w:r>
      <w:r w:rsidR="00F05EF9">
        <w:rPr>
          <w:rFonts w:ascii="Arial" w:eastAsia="Calibri" w:hAnsi="Arial" w:cs="Arial"/>
          <w:b/>
        </w:rPr>
        <w:t xml:space="preserve"> </w:t>
      </w:r>
      <w:r w:rsidR="00C63440">
        <w:rPr>
          <w:rFonts w:ascii="Arial" w:eastAsia="Calibri" w:hAnsi="Arial" w:cs="Arial"/>
          <w:b/>
        </w:rPr>
        <w:t xml:space="preserve">rovněž </w:t>
      </w:r>
      <w:r w:rsidRPr="003E1E9F">
        <w:rPr>
          <w:rFonts w:ascii="Arial" w:hAnsi="Arial" w:cs="Arial"/>
          <w:b/>
        </w:rPr>
        <w:t>internacionalizaci a mezinárodní spolupráci</w:t>
      </w:r>
      <w:r w:rsidRPr="003E1E9F">
        <w:rPr>
          <w:rFonts w:ascii="Arial" w:hAnsi="Arial" w:cs="Arial"/>
          <w:bCs/>
        </w:rPr>
        <w:t xml:space="preserve"> velkých výzkumných infrastruktur</w:t>
      </w:r>
      <w:r>
        <w:rPr>
          <w:rFonts w:ascii="Arial" w:hAnsi="Arial" w:cs="Arial"/>
          <w:bCs/>
        </w:rPr>
        <w:t>, včetně</w:t>
      </w:r>
      <w:r w:rsidRPr="003E1E9F">
        <w:rPr>
          <w:rFonts w:ascii="Arial" w:hAnsi="Arial" w:cs="Arial"/>
          <w:bCs/>
        </w:rPr>
        <w:t xml:space="preserve"> </w:t>
      </w:r>
      <w:r w:rsidR="00C63440">
        <w:rPr>
          <w:rFonts w:ascii="Arial" w:hAnsi="Arial" w:cs="Arial"/>
          <w:bCs/>
        </w:rPr>
        <w:t xml:space="preserve">jejich </w:t>
      </w:r>
      <w:r>
        <w:rPr>
          <w:rFonts w:ascii="Arial" w:eastAsia="Calibri" w:hAnsi="Arial" w:cs="Arial"/>
          <w:bCs/>
        </w:rPr>
        <w:t>integrace</w:t>
      </w:r>
      <w:r w:rsidRPr="003E1E9F">
        <w:rPr>
          <w:rFonts w:ascii="Arial" w:hAnsi="Arial" w:cs="Arial"/>
          <w:bCs/>
        </w:rPr>
        <w:t xml:space="preserve"> do mezinárodních právních entit, zejména </w:t>
      </w:r>
      <w:r w:rsidR="007B35AF">
        <w:rPr>
          <w:rFonts w:ascii="Arial" w:hAnsi="Arial" w:cs="Arial"/>
          <w:bCs/>
        </w:rPr>
        <w:t xml:space="preserve">do </w:t>
      </w:r>
      <w:r>
        <w:rPr>
          <w:rFonts w:ascii="Arial" w:eastAsia="Calibri" w:hAnsi="Arial" w:cs="Arial"/>
          <w:bCs/>
        </w:rPr>
        <w:t>konsorcií ERIC</w:t>
      </w:r>
      <w:r w:rsidR="004D0407">
        <w:rPr>
          <w:rFonts w:ascii="Arial" w:eastAsia="Calibri" w:hAnsi="Arial" w:cs="Arial"/>
          <w:bCs/>
        </w:rPr>
        <w:t xml:space="preserve">, do </w:t>
      </w:r>
      <w:r w:rsidR="00C63440">
        <w:rPr>
          <w:rFonts w:ascii="Arial" w:eastAsia="Calibri" w:hAnsi="Arial" w:cs="Arial"/>
          <w:bCs/>
        </w:rPr>
        <w:t>kterých</w:t>
      </w:r>
      <w:r w:rsidR="004D0407">
        <w:rPr>
          <w:rFonts w:ascii="Arial" w:eastAsia="Calibri" w:hAnsi="Arial" w:cs="Arial"/>
          <w:bCs/>
        </w:rPr>
        <w:t xml:space="preserve"> MŠMT hradí mandatorní členské příspěvky ČR v souladu s ust. § 3</w:t>
      </w:r>
      <w:r w:rsidR="004D0407">
        <w:rPr>
          <w:rFonts w:ascii="Arial" w:hAnsi="Arial" w:cs="Arial"/>
          <w:bCs/>
        </w:rPr>
        <w:t xml:space="preserve"> odst. 3 písm. b) bod 2. zákona o podpoře výzkumu, experimentálního vývoje a inovací</w:t>
      </w:r>
      <w:r w:rsidR="007B35AF">
        <w:rPr>
          <w:rFonts w:ascii="Arial" w:hAnsi="Arial" w:cs="Arial"/>
          <w:bCs/>
        </w:rPr>
        <w:t xml:space="preserve"> z výdajů institucionální podpory na mezinárodní spolupráci ČR ve VaVaI</w:t>
      </w:r>
      <w:r>
        <w:rPr>
          <w:rFonts w:ascii="Arial" w:hAnsi="Arial" w:cs="Arial"/>
          <w:bCs/>
        </w:rPr>
        <w:t>.</w:t>
      </w:r>
    </w:p>
    <w:p w14:paraId="6FE18486" w14:textId="39A5E97D" w:rsidR="007B35AF" w:rsidRDefault="007B35AF" w:rsidP="00106780">
      <w:pPr>
        <w:spacing w:after="0" w:line="240" w:lineRule="auto"/>
        <w:jc w:val="both"/>
        <w:rPr>
          <w:rFonts w:ascii="Arial" w:hAnsi="Arial" w:cs="Arial"/>
          <w:bCs/>
        </w:rPr>
      </w:pPr>
    </w:p>
    <w:p w14:paraId="2CFB2DF6" w14:textId="3B1F1022" w:rsidR="007B35AF" w:rsidRDefault="007B35AF" w:rsidP="00106780">
      <w:pPr>
        <w:spacing w:after="0" w:line="240" w:lineRule="auto"/>
        <w:jc w:val="both"/>
        <w:rPr>
          <w:rFonts w:ascii="Arial" w:hAnsi="Arial" w:cs="Arial"/>
          <w:bCs/>
        </w:rPr>
      </w:pPr>
    </w:p>
    <w:p w14:paraId="29E2679C" w14:textId="6F29CD26" w:rsidR="001B2E5D" w:rsidRPr="00EB7026" w:rsidRDefault="009C6116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F</w:t>
      </w:r>
      <w:r w:rsidR="001B2E5D">
        <w:rPr>
          <w:rFonts w:ascii="Arial" w:eastAsia="Calibri" w:hAnsi="Arial" w:cs="Arial"/>
          <w:b/>
          <w:bCs/>
          <w:u w:val="single"/>
        </w:rPr>
        <w:t>inancování</w:t>
      </w:r>
      <w:r>
        <w:rPr>
          <w:rFonts w:ascii="Arial" w:eastAsia="Calibri" w:hAnsi="Arial" w:cs="Arial"/>
          <w:b/>
          <w:bCs/>
          <w:u w:val="single"/>
        </w:rPr>
        <w:t xml:space="preserve"> projektů</w:t>
      </w:r>
    </w:p>
    <w:p w14:paraId="13CAABCB" w14:textId="612D54D9" w:rsidR="001B2E5D" w:rsidRDefault="001B2E5D" w:rsidP="003E34CA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057F74E0" w14:textId="1C73887E" w:rsidR="007813FC" w:rsidRDefault="009F0696" w:rsidP="00643D6F">
      <w:pPr>
        <w:spacing w:after="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Návazně</w:t>
      </w:r>
      <w:r w:rsidR="003E34CA" w:rsidRPr="003E34CA">
        <w:rPr>
          <w:rFonts w:ascii="Arial" w:eastAsia="Calibri" w:hAnsi="Arial" w:cs="Arial"/>
          <w:bCs/>
        </w:rPr>
        <w:t xml:space="preserve"> na akt schválení velkých výzkumných infrastruktur vládou ČR na návrh předložený MŠMT</w:t>
      </w:r>
      <w:r w:rsidR="009C6116">
        <w:rPr>
          <w:rFonts w:ascii="Arial" w:eastAsia="Calibri" w:hAnsi="Arial" w:cs="Arial"/>
          <w:bCs/>
        </w:rPr>
        <w:t xml:space="preserve"> poskytuje</w:t>
      </w:r>
      <w:r w:rsidR="003E34CA" w:rsidRPr="003E34CA">
        <w:rPr>
          <w:rFonts w:ascii="Arial" w:eastAsia="Calibri" w:hAnsi="Arial" w:cs="Arial"/>
          <w:bCs/>
        </w:rPr>
        <w:t xml:space="preserve"> </w:t>
      </w:r>
      <w:r w:rsidR="009C6116">
        <w:rPr>
          <w:rFonts w:ascii="Arial" w:eastAsia="Calibri" w:hAnsi="Arial" w:cs="Arial"/>
          <w:bCs/>
        </w:rPr>
        <w:t>MŠMT</w:t>
      </w:r>
      <w:r w:rsidR="003E34CA" w:rsidRPr="003E34CA">
        <w:rPr>
          <w:rFonts w:ascii="Arial" w:eastAsia="Calibri" w:hAnsi="Arial" w:cs="Arial"/>
          <w:bCs/>
        </w:rPr>
        <w:t xml:space="preserve"> velkým výzkumným infrastrukturám účelov</w:t>
      </w:r>
      <w:r w:rsidR="009C6116">
        <w:rPr>
          <w:rFonts w:ascii="Arial" w:eastAsia="Calibri" w:hAnsi="Arial" w:cs="Arial"/>
          <w:bCs/>
        </w:rPr>
        <w:t>ou</w:t>
      </w:r>
      <w:r w:rsidR="003E34CA" w:rsidRPr="003E34CA">
        <w:rPr>
          <w:rFonts w:ascii="Arial" w:eastAsia="Calibri" w:hAnsi="Arial" w:cs="Arial"/>
          <w:bCs/>
        </w:rPr>
        <w:t xml:space="preserve"> podpor</w:t>
      </w:r>
      <w:r w:rsidR="009C6116">
        <w:rPr>
          <w:rFonts w:ascii="Arial" w:eastAsia="Calibri" w:hAnsi="Arial" w:cs="Arial"/>
          <w:bCs/>
        </w:rPr>
        <w:t>u</w:t>
      </w:r>
      <w:r w:rsidR="003E34CA" w:rsidRPr="003E34CA">
        <w:rPr>
          <w:rFonts w:ascii="Arial" w:eastAsia="Calibri" w:hAnsi="Arial" w:cs="Arial"/>
          <w:bCs/>
        </w:rPr>
        <w:t xml:space="preserve">, a to z výdajů státního rozpočtu ČR na </w:t>
      </w:r>
      <w:r>
        <w:rPr>
          <w:rFonts w:ascii="Arial" w:eastAsia="Calibri" w:hAnsi="Arial" w:cs="Arial"/>
          <w:bCs/>
        </w:rPr>
        <w:t>VaVaI</w:t>
      </w:r>
      <w:r w:rsidR="003E34CA" w:rsidRPr="003E34CA">
        <w:rPr>
          <w:rFonts w:ascii="Arial" w:eastAsia="Calibri" w:hAnsi="Arial" w:cs="Arial"/>
          <w:bCs/>
        </w:rPr>
        <w:t xml:space="preserve">. Z účelové podpory jsou </w:t>
      </w:r>
      <w:r w:rsidR="009C6116">
        <w:rPr>
          <w:rFonts w:ascii="Arial" w:eastAsia="Calibri" w:hAnsi="Arial" w:cs="Arial"/>
          <w:bCs/>
        </w:rPr>
        <w:t xml:space="preserve">přitom </w:t>
      </w:r>
      <w:r w:rsidR="003E34CA" w:rsidRPr="003E34CA">
        <w:rPr>
          <w:rFonts w:ascii="Arial" w:eastAsia="Calibri" w:hAnsi="Arial" w:cs="Arial"/>
          <w:bCs/>
        </w:rPr>
        <w:t>hrazen</w:t>
      </w:r>
      <w:r w:rsidR="007813FC">
        <w:rPr>
          <w:rFonts w:ascii="Arial" w:eastAsia="Calibri" w:hAnsi="Arial" w:cs="Arial"/>
          <w:bCs/>
        </w:rPr>
        <w:t>y</w:t>
      </w:r>
      <w:r w:rsidR="00A80CE1">
        <w:rPr>
          <w:rFonts w:ascii="Arial" w:eastAsia="Calibri" w:hAnsi="Arial" w:cs="Arial"/>
          <w:bCs/>
        </w:rPr>
        <w:t xml:space="preserve"> jen</w:t>
      </w:r>
      <w:r w:rsidR="009C6116">
        <w:rPr>
          <w:rFonts w:ascii="Arial" w:eastAsia="Calibri" w:hAnsi="Arial" w:cs="Arial"/>
          <w:bCs/>
        </w:rPr>
        <w:t xml:space="preserve"> </w:t>
      </w:r>
      <w:r w:rsidR="003E34CA" w:rsidRPr="003E34CA">
        <w:rPr>
          <w:rFonts w:ascii="Arial" w:eastAsia="Calibri" w:hAnsi="Arial" w:cs="Arial"/>
          <w:b/>
        </w:rPr>
        <w:t>provozní náklady</w:t>
      </w:r>
      <w:r w:rsidR="003E34CA" w:rsidRPr="003E34CA">
        <w:rPr>
          <w:rFonts w:ascii="Arial" w:eastAsia="Calibri" w:hAnsi="Arial" w:cs="Arial"/>
          <w:bCs/>
        </w:rPr>
        <w:t xml:space="preserve"> velkých výzkumných infrastruktur.</w:t>
      </w:r>
    </w:p>
    <w:p w14:paraId="17480DBC" w14:textId="77777777" w:rsidR="007B35AF" w:rsidRDefault="007B35AF" w:rsidP="00643D6F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791E6D72" w14:textId="09806142" w:rsidR="00643D6F" w:rsidRDefault="007813FC" w:rsidP="00643D6F">
      <w:pPr>
        <w:spacing w:after="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</w:rPr>
        <w:t>I</w:t>
      </w:r>
      <w:r w:rsidR="003E34CA" w:rsidRPr="003E34CA">
        <w:rPr>
          <w:rFonts w:ascii="Arial" w:eastAsia="Calibri" w:hAnsi="Arial" w:cs="Arial"/>
          <w:b/>
        </w:rPr>
        <w:t>nvestiční náklady</w:t>
      </w:r>
      <w:r w:rsidR="003E34CA" w:rsidRPr="003E34CA">
        <w:rPr>
          <w:rFonts w:ascii="Arial" w:eastAsia="Calibri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t xml:space="preserve">velkých výzkumných infrastruktur </w:t>
      </w:r>
      <w:r w:rsidR="003E34CA" w:rsidRPr="003E34CA">
        <w:rPr>
          <w:rFonts w:ascii="Arial" w:eastAsia="Calibri" w:hAnsi="Arial" w:cs="Arial"/>
          <w:bCs/>
        </w:rPr>
        <w:t xml:space="preserve">jsou </w:t>
      </w:r>
      <w:r>
        <w:rPr>
          <w:rFonts w:ascii="Arial" w:eastAsia="Calibri" w:hAnsi="Arial" w:cs="Arial"/>
          <w:bCs/>
        </w:rPr>
        <w:t>v</w:t>
      </w:r>
      <w:r w:rsidR="003E34CA" w:rsidRPr="003E34CA">
        <w:rPr>
          <w:rFonts w:ascii="Arial" w:eastAsia="Calibri" w:hAnsi="Arial" w:cs="Arial"/>
          <w:bCs/>
        </w:rPr>
        <w:t xml:space="preserve"> synergii k</w:t>
      </w:r>
      <w:r>
        <w:rPr>
          <w:rFonts w:ascii="Arial" w:eastAsia="Calibri" w:hAnsi="Arial" w:cs="Arial"/>
          <w:bCs/>
        </w:rPr>
        <w:t xml:space="preserve"> čerpání </w:t>
      </w:r>
      <w:r w:rsidR="003E34CA" w:rsidRPr="003E34CA">
        <w:rPr>
          <w:rFonts w:ascii="Arial" w:eastAsia="Calibri" w:hAnsi="Arial" w:cs="Arial"/>
          <w:bCs/>
        </w:rPr>
        <w:t xml:space="preserve">výdajů státního rozpočtu ČR na </w:t>
      </w:r>
      <w:r w:rsidR="009F0696">
        <w:rPr>
          <w:rFonts w:ascii="Arial" w:eastAsia="Calibri" w:hAnsi="Arial" w:cs="Arial"/>
          <w:bCs/>
        </w:rPr>
        <w:t>VaVaI</w:t>
      </w:r>
      <w:r w:rsidR="003E34CA" w:rsidRPr="003E34CA">
        <w:rPr>
          <w:rFonts w:ascii="Arial" w:eastAsia="Calibri" w:hAnsi="Arial" w:cs="Arial"/>
          <w:bCs/>
        </w:rPr>
        <w:t xml:space="preserve"> </w:t>
      </w:r>
      <w:r w:rsidR="00A80CE1">
        <w:rPr>
          <w:rFonts w:ascii="Arial" w:eastAsia="Calibri" w:hAnsi="Arial" w:cs="Arial"/>
          <w:bCs/>
        </w:rPr>
        <w:t>hrazeny</w:t>
      </w:r>
      <w:r w:rsidR="003E34CA" w:rsidRPr="003E34CA">
        <w:rPr>
          <w:rFonts w:ascii="Arial" w:eastAsia="Calibri" w:hAnsi="Arial" w:cs="Arial"/>
          <w:bCs/>
        </w:rPr>
        <w:t xml:space="preserve"> z fondů </w:t>
      </w:r>
      <w:r w:rsidR="009F0696">
        <w:rPr>
          <w:rFonts w:ascii="Arial" w:eastAsia="Calibri" w:hAnsi="Arial" w:cs="Arial"/>
          <w:bCs/>
        </w:rPr>
        <w:t xml:space="preserve">politiky soudržnosti EU. Od roku 2023 se bude jednat o Operační program Jan Amos Komenský (dále jen „OP JAK“), spadající </w:t>
      </w:r>
      <w:r w:rsidR="00643D6F">
        <w:rPr>
          <w:rFonts w:ascii="Arial" w:eastAsia="Calibri" w:hAnsi="Arial" w:cs="Arial"/>
          <w:bCs/>
        </w:rPr>
        <w:t xml:space="preserve">také </w:t>
      </w:r>
      <w:r w:rsidR="009F0696">
        <w:rPr>
          <w:rFonts w:ascii="Arial" w:eastAsia="Calibri" w:hAnsi="Arial" w:cs="Arial"/>
          <w:bCs/>
        </w:rPr>
        <w:t>do gesce MŠMT.</w:t>
      </w:r>
    </w:p>
    <w:p w14:paraId="1D1FD5E1" w14:textId="77777777" w:rsidR="00DA1151" w:rsidRDefault="00DA1151" w:rsidP="00643D6F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41E24CBF" w14:textId="65D4F780" w:rsidR="00643D6F" w:rsidRDefault="00643D6F" w:rsidP="00643D6F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Třetím</w:t>
      </w:r>
      <w:r w:rsidRPr="00106780">
        <w:rPr>
          <w:rFonts w:ascii="Arial" w:eastAsia="Calibri" w:hAnsi="Arial" w:cs="Arial"/>
        </w:rPr>
        <w:t xml:space="preserve"> z roz</w:t>
      </w:r>
      <w:r>
        <w:rPr>
          <w:rFonts w:ascii="Arial" w:eastAsia="Calibri" w:hAnsi="Arial" w:cs="Arial"/>
        </w:rPr>
        <w:t>počtových zdrojů podílejícím se na financování velkých výzkumných infrastruktur</w:t>
      </w:r>
      <w:r w:rsidR="00CB7595">
        <w:rPr>
          <w:rFonts w:ascii="Arial" w:eastAsia="Calibri" w:hAnsi="Arial" w:cs="Arial"/>
        </w:rPr>
        <w:t>, resp.</w:t>
      </w:r>
      <w:r>
        <w:rPr>
          <w:rFonts w:ascii="Arial" w:eastAsia="Calibri" w:hAnsi="Arial" w:cs="Arial"/>
        </w:rPr>
        <w:t xml:space="preserve"> zabezpečujícím</w:t>
      </w:r>
      <w:r w:rsidRPr="00106780">
        <w:rPr>
          <w:rFonts w:ascii="Arial" w:eastAsia="Calibri" w:hAnsi="Arial" w:cs="Arial"/>
        </w:rPr>
        <w:t xml:space="preserve"> účast ČR v právnických osobách ERIC je </w:t>
      </w:r>
      <w:r w:rsidR="00CB7595">
        <w:rPr>
          <w:rFonts w:ascii="Arial" w:eastAsia="Calibri" w:hAnsi="Arial" w:cs="Arial"/>
        </w:rPr>
        <w:t xml:space="preserve">pak </w:t>
      </w:r>
      <w:r w:rsidRPr="007813FC">
        <w:rPr>
          <w:rFonts w:ascii="Arial" w:eastAsia="Calibri" w:hAnsi="Arial" w:cs="Arial"/>
          <w:bCs/>
        </w:rPr>
        <w:t>institucionální podpora na mezinárodní spolupráci ČR ve VaVaI</w:t>
      </w:r>
      <w:r w:rsidRPr="00106780">
        <w:rPr>
          <w:rFonts w:ascii="Arial" w:eastAsia="Calibri" w:hAnsi="Arial" w:cs="Arial"/>
        </w:rPr>
        <w:t xml:space="preserve">, </w:t>
      </w:r>
      <w:r w:rsidR="007813FC">
        <w:rPr>
          <w:rFonts w:ascii="Arial" w:eastAsia="Calibri" w:hAnsi="Arial" w:cs="Arial"/>
        </w:rPr>
        <w:t>z níž</w:t>
      </w:r>
      <w:r w:rsidRPr="00106780">
        <w:rPr>
          <w:rFonts w:ascii="Arial" w:eastAsia="Calibri" w:hAnsi="Arial" w:cs="Arial"/>
        </w:rPr>
        <w:t xml:space="preserve"> jsou v souladu s legislativní úpravou ČR ze strany MŠMT hrazeny </w:t>
      </w:r>
      <w:r w:rsidRPr="007813FC">
        <w:rPr>
          <w:rFonts w:ascii="Arial" w:eastAsia="Calibri" w:hAnsi="Arial" w:cs="Arial"/>
          <w:b/>
          <w:bCs/>
        </w:rPr>
        <w:t xml:space="preserve">mandatorní členské příspěvky ČR do </w:t>
      </w:r>
      <w:r w:rsidR="007813FC" w:rsidRPr="007813FC">
        <w:rPr>
          <w:rFonts w:ascii="Arial" w:eastAsia="Calibri" w:hAnsi="Arial" w:cs="Arial"/>
          <w:b/>
          <w:bCs/>
        </w:rPr>
        <w:t>konsorcií</w:t>
      </w:r>
      <w:r w:rsidRPr="007813FC">
        <w:rPr>
          <w:rFonts w:ascii="Arial" w:eastAsia="Calibri" w:hAnsi="Arial" w:cs="Arial"/>
          <w:b/>
          <w:bCs/>
        </w:rPr>
        <w:t xml:space="preserve"> ERIC</w:t>
      </w:r>
      <w:r w:rsidRPr="00106780">
        <w:rPr>
          <w:rFonts w:ascii="Arial" w:eastAsia="Calibri" w:hAnsi="Arial" w:cs="Arial"/>
        </w:rPr>
        <w:t>.</w:t>
      </w:r>
    </w:p>
    <w:p w14:paraId="2971DBE0" w14:textId="77777777" w:rsidR="00DA1151" w:rsidRDefault="00DA1151" w:rsidP="00643D6F">
      <w:pPr>
        <w:spacing w:after="0" w:line="240" w:lineRule="auto"/>
        <w:jc w:val="both"/>
        <w:rPr>
          <w:rFonts w:ascii="Arial" w:eastAsia="Calibri" w:hAnsi="Arial" w:cs="Arial"/>
        </w:rPr>
      </w:pPr>
    </w:p>
    <w:p w14:paraId="045B5511" w14:textId="36FE18D2" w:rsidR="00643D6F" w:rsidRPr="00106780" w:rsidRDefault="00643D6F" w:rsidP="00643D6F">
      <w:pPr>
        <w:spacing w:after="0" w:line="240" w:lineRule="auto"/>
        <w:jc w:val="both"/>
        <w:rPr>
          <w:rFonts w:ascii="Arial" w:eastAsia="Calibri" w:hAnsi="Arial" w:cs="Arial"/>
        </w:rPr>
      </w:pPr>
      <w:r w:rsidRPr="00106780">
        <w:rPr>
          <w:rFonts w:ascii="Arial" w:eastAsia="Calibri" w:hAnsi="Arial" w:cs="Arial"/>
        </w:rPr>
        <w:t xml:space="preserve">Lze konstatovat, že velké výzkumné infrastruktury přispívají k </w:t>
      </w:r>
      <w:r>
        <w:rPr>
          <w:rFonts w:ascii="Arial" w:eastAsia="Calibri" w:hAnsi="Arial" w:cs="Arial"/>
          <w:b/>
        </w:rPr>
        <w:t>efektivitě</w:t>
      </w:r>
      <w:r w:rsidRPr="00106780">
        <w:rPr>
          <w:rFonts w:ascii="Arial" w:eastAsia="Calibri" w:hAnsi="Arial" w:cs="Arial"/>
          <w:b/>
        </w:rPr>
        <w:t xml:space="preserve"> financování </w:t>
      </w:r>
      <w:r>
        <w:rPr>
          <w:rFonts w:ascii="Arial" w:eastAsia="Calibri" w:hAnsi="Arial" w:cs="Arial"/>
          <w:b/>
        </w:rPr>
        <w:t>VaVaI</w:t>
      </w:r>
      <w:r w:rsidRPr="001F008F">
        <w:rPr>
          <w:rFonts w:ascii="Arial" w:eastAsia="Calibri" w:hAnsi="Arial" w:cs="Arial"/>
          <w:b/>
        </w:rPr>
        <w:t>.</w:t>
      </w:r>
      <w:r w:rsidRPr="00106780">
        <w:rPr>
          <w:rFonts w:ascii="Arial" w:eastAsia="Calibri" w:hAnsi="Arial" w:cs="Arial"/>
        </w:rPr>
        <w:t xml:space="preserve"> Na straně jedné totiž představují </w:t>
      </w:r>
      <w:r>
        <w:rPr>
          <w:rFonts w:ascii="Arial" w:eastAsia="Calibri" w:hAnsi="Arial" w:cs="Arial"/>
        </w:rPr>
        <w:t xml:space="preserve">zcela </w:t>
      </w:r>
      <w:r w:rsidRPr="00106780">
        <w:rPr>
          <w:rFonts w:ascii="Arial" w:eastAsia="Calibri" w:hAnsi="Arial" w:cs="Arial"/>
        </w:rPr>
        <w:t xml:space="preserve">jedinečná zařízení o </w:t>
      </w:r>
      <w:r>
        <w:rPr>
          <w:rFonts w:ascii="Arial" w:eastAsia="Calibri" w:hAnsi="Arial" w:cs="Arial"/>
        </w:rPr>
        <w:t>unikátní</w:t>
      </w:r>
      <w:r w:rsidRPr="00106780">
        <w:rPr>
          <w:rFonts w:ascii="Arial" w:eastAsia="Calibri" w:hAnsi="Arial" w:cs="Arial"/>
        </w:rPr>
        <w:t xml:space="preserve"> technologické a znalostní úrovni. Na straně druhé jsou jejich hostitelskými výzkumnými organizacemi provozovány </w:t>
      </w:r>
      <w:r>
        <w:rPr>
          <w:rFonts w:ascii="Arial" w:eastAsia="Calibri" w:hAnsi="Arial" w:cs="Arial"/>
        </w:rPr>
        <w:t>pro</w:t>
      </w:r>
      <w:r w:rsidRPr="00106780">
        <w:rPr>
          <w:rFonts w:ascii="Arial" w:eastAsia="Calibri" w:hAnsi="Arial" w:cs="Arial"/>
        </w:rPr>
        <w:t xml:space="preserve"> využití všemi potenciálními uživateli z</w:t>
      </w:r>
      <w:r>
        <w:rPr>
          <w:rFonts w:ascii="Arial" w:eastAsia="Calibri" w:hAnsi="Arial" w:cs="Arial"/>
        </w:rPr>
        <w:t xml:space="preserve"> </w:t>
      </w:r>
      <w:r w:rsidRPr="00106780">
        <w:rPr>
          <w:rFonts w:ascii="Arial" w:eastAsia="Calibri" w:hAnsi="Arial" w:cs="Arial"/>
        </w:rPr>
        <w:t>výzkumných organizací i průmyslového sektoru</w:t>
      </w:r>
      <w:r>
        <w:rPr>
          <w:rFonts w:ascii="Arial" w:eastAsia="Calibri" w:hAnsi="Arial" w:cs="Arial"/>
        </w:rPr>
        <w:t xml:space="preserve"> na bázi politiky otevřeného přístupu</w:t>
      </w:r>
      <w:r w:rsidRPr="00106780">
        <w:rPr>
          <w:rFonts w:ascii="Arial" w:eastAsia="Calibri" w:hAnsi="Arial" w:cs="Arial"/>
        </w:rPr>
        <w:t xml:space="preserve">. </w:t>
      </w:r>
      <w:r>
        <w:rPr>
          <w:rFonts w:ascii="Arial" w:eastAsia="Calibri" w:hAnsi="Arial" w:cs="Arial"/>
        </w:rPr>
        <w:t>E</w:t>
      </w:r>
      <w:r w:rsidRPr="00106780">
        <w:rPr>
          <w:rFonts w:ascii="Arial" w:eastAsia="Calibri" w:hAnsi="Arial" w:cs="Arial"/>
        </w:rPr>
        <w:t xml:space="preserve">liminují </w:t>
      </w:r>
      <w:r w:rsidR="00853FEA">
        <w:rPr>
          <w:rFonts w:ascii="Arial" w:eastAsia="Calibri" w:hAnsi="Arial" w:cs="Arial"/>
        </w:rPr>
        <w:t>t</w:t>
      </w:r>
      <w:r w:rsidR="00F05EF9">
        <w:rPr>
          <w:rFonts w:ascii="Arial" w:eastAsia="Calibri" w:hAnsi="Arial" w:cs="Arial"/>
        </w:rPr>
        <w:t>edy</w:t>
      </w:r>
      <w:r w:rsidR="00853FEA">
        <w:rPr>
          <w:rFonts w:ascii="Arial" w:eastAsia="Calibri" w:hAnsi="Arial" w:cs="Arial"/>
        </w:rPr>
        <w:t xml:space="preserve"> </w:t>
      </w:r>
      <w:r w:rsidRPr="00106780">
        <w:rPr>
          <w:rFonts w:ascii="Arial" w:eastAsia="Calibri" w:hAnsi="Arial" w:cs="Arial"/>
        </w:rPr>
        <w:t xml:space="preserve">potřebnost </w:t>
      </w:r>
      <w:r w:rsidR="00F05EF9">
        <w:rPr>
          <w:rFonts w:ascii="Arial" w:eastAsia="Calibri" w:hAnsi="Arial" w:cs="Arial"/>
        </w:rPr>
        <w:t>pořizování</w:t>
      </w:r>
      <w:r w:rsidRPr="00106780">
        <w:rPr>
          <w:rFonts w:ascii="Arial" w:eastAsia="Calibri" w:hAnsi="Arial" w:cs="Arial"/>
        </w:rPr>
        <w:t xml:space="preserve"> stejně finančně nákladného přístrojového vybavení i </w:t>
      </w:r>
      <w:r>
        <w:rPr>
          <w:rFonts w:ascii="Arial" w:eastAsia="Calibri" w:hAnsi="Arial" w:cs="Arial"/>
        </w:rPr>
        <w:t xml:space="preserve">na </w:t>
      </w:r>
      <w:r w:rsidRPr="00106780">
        <w:rPr>
          <w:rFonts w:ascii="Arial" w:eastAsia="Calibri" w:hAnsi="Arial" w:cs="Arial"/>
        </w:rPr>
        <w:t xml:space="preserve">dalších </w:t>
      </w:r>
      <w:r>
        <w:rPr>
          <w:rFonts w:ascii="Arial" w:eastAsia="Calibri" w:hAnsi="Arial" w:cs="Arial"/>
        </w:rPr>
        <w:t>pracovištích</w:t>
      </w:r>
      <w:r w:rsidR="00853FEA">
        <w:rPr>
          <w:rFonts w:ascii="Arial" w:eastAsia="Calibri" w:hAnsi="Arial" w:cs="Arial"/>
        </w:rPr>
        <w:t xml:space="preserve"> VaVaI</w:t>
      </w:r>
      <w:r w:rsidRPr="00106780">
        <w:rPr>
          <w:rFonts w:ascii="Arial" w:eastAsia="Calibri" w:hAnsi="Arial" w:cs="Arial"/>
        </w:rPr>
        <w:t>.</w:t>
      </w:r>
    </w:p>
    <w:p w14:paraId="798D06CC" w14:textId="77777777" w:rsidR="003E34CA" w:rsidRPr="003E34CA" w:rsidRDefault="003E34CA" w:rsidP="003E34CA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060B73F4" w14:textId="4CDC4F94" w:rsidR="009C6116" w:rsidRPr="00EB7026" w:rsidRDefault="009C6116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Cestovní mapa</w:t>
      </w:r>
    </w:p>
    <w:p w14:paraId="7A1F3F07" w14:textId="77777777" w:rsidR="003E34CA" w:rsidRPr="003E34CA" w:rsidRDefault="003E34CA" w:rsidP="003E34CA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4A3FDFFE" w14:textId="49755741" w:rsidR="007813FC" w:rsidRDefault="003E34CA" w:rsidP="003E34CA">
      <w:pPr>
        <w:spacing w:after="0" w:line="240" w:lineRule="auto"/>
        <w:jc w:val="both"/>
        <w:rPr>
          <w:rFonts w:ascii="Arial" w:eastAsia="Calibri" w:hAnsi="Arial" w:cs="Arial"/>
          <w:bCs/>
        </w:rPr>
      </w:pPr>
      <w:r w:rsidRPr="003E34CA">
        <w:rPr>
          <w:rFonts w:ascii="Arial" w:eastAsia="Calibri" w:hAnsi="Arial" w:cs="Arial"/>
          <w:bCs/>
        </w:rPr>
        <w:t>Strategickým dokumentem, který shrnuje genezi agendy velkých výzkumných infrastruktur ČR, stanovuje koncepci jejich podpory z veřejných prostředků ČR, představuje jednotliv</w:t>
      </w:r>
      <w:r w:rsidR="001B2E5D">
        <w:rPr>
          <w:rFonts w:ascii="Arial" w:eastAsia="Calibri" w:hAnsi="Arial" w:cs="Arial"/>
          <w:bCs/>
        </w:rPr>
        <w:t>é projekty</w:t>
      </w:r>
      <w:r w:rsidRPr="003E34CA">
        <w:rPr>
          <w:rFonts w:ascii="Arial" w:eastAsia="Calibri" w:hAnsi="Arial" w:cs="Arial"/>
          <w:bCs/>
        </w:rPr>
        <w:t xml:space="preserve"> </w:t>
      </w:r>
      <w:r w:rsidR="00853FEA">
        <w:rPr>
          <w:rFonts w:ascii="Arial" w:eastAsia="Calibri" w:hAnsi="Arial" w:cs="Arial"/>
          <w:bCs/>
        </w:rPr>
        <w:t xml:space="preserve">velkých výzkumných infrastruktur </w:t>
      </w:r>
      <w:r w:rsidRPr="003E34CA">
        <w:rPr>
          <w:rFonts w:ascii="Arial" w:eastAsia="Calibri" w:hAnsi="Arial" w:cs="Arial"/>
          <w:bCs/>
        </w:rPr>
        <w:t>a vědně-oborové oblasti, v</w:t>
      </w:r>
      <w:r w:rsidR="00853FEA">
        <w:rPr>
          <w:rFonts w:ascii="Arial" w:eastAsia="Calibri" w:hAnsi="Arial" w:cs="Arial"/>
          <w:bCs/>
        </w:rPr>
        <w:t xml:space="preserve">e kterých </w:t>
      </w:r>
      <w:r w:rsidRPr="003E34CA">
        <w:rPr>
          <w:rFonts w:ascii="Arial" w:eastAsia="Calibri" w:hAnsi="Arial" w:cs="Arial"/>
          <w:bCs/>
        </w:rPr>
        <w:t xml:space="preserve">jsou </w:t>
      </w:r>
      <w:r w:rsidR="00853FEA">
        <w:rPr>
          <w:rFonts w:ascii="Arial" w:eastAsia="Calibri" w:hAnsi="Arial" w:cs="Arial"/>
          <w:bCs/>
        </w:rPr>
        <w:t>implementovány</w:t>
      </w:r>
      <w:r w:rsidRPr="003E34CA">
        <w:rPr>
          <w:rFonts w:ascii="Arial" w:eastAsia="Calibri" w:hAnsi="Arial" w:cs="Arial"/>
          <w:bCs/>
        </w:rPr>
        <w:t>, a</w:t>
      </w:r>
      <w:r w:rsidR="00853FEA">
        <w:rPr>
          <w:rFonts w:ascii="Arial" w:eastAsia="Calibri" w:hAnsi="Arial" w:cs="Arial"/>
          <w:bCs/>
        </w:rPr>
        <w:t> </w:t>
      </w:r>
      <w:r w:rsidRPr="003E34CA">
        <w:rPr>
          <w:rFonts w:ascii="Arial" w:eastAsia="Calibri" w:hAnsi="Arial" w:cs="Arial"/>
          <w:bCs/>
        </w:rPr>
        <w:t xml:space="preserve">zasazuje politiku velkých výzkumných infrastruktur ČR do mezinárodního kontextu, je tzv. </w:t>
      </w:r>
      <w:r w:rsidRPr="003E34CA">
        <w:rPr>
          <w:rFonts w:ascii="Arial" w:eastAsia="Calibri" w:hAnsi="Arial" w:cs="Arial"/>
          <w:b/>
          <w:bCs/>
        </w:rPr>
        <w:t>Cestovní mapa velkých výzkumných infrastruktur ČR</w:t>
      </w:r>
      <w:r w:rsidR="00F05EF9">
        <w:rPr>
          <w:rFonts w:ascii="Arial" w:eastAsia="Calibri" w:hAnsi="Arial" w:cs="Arial"/>
          <w:bCs/>
        </w:rPr>
        <w:t>, kterou zpracovává MŠMT.</w:t>
      </w:r>
      <w:r w:rsidRPr="003E34CA">
        <w:rPr>
          <w:rFonts w:ascii="Arial" w:eastAsia="Calibri" w:hAnsi="Arial" w:cs="Arial"/>
          <w:bCs/>
        </w:rPr>
        <w:t xml:space="preserve"> </w:t>
      </w:r>
    </w:p>
    <w:p w14:paraId="61010F9B" w14:textId="77777777" w:rsidR="007813FC" w:rsidRDefault="007813FC" w:rsidP="003E34CA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6F168BA3" w14:textId="3627D33A" w:rsidR="00643D6F" w:rsidRDefault="003E34CA" w:rsidP="003E34CA">
      <w:pPr>
        <w:spacing w:after="0" w:line="240" w:lineRule="auto"/>
        <w:jc w:val="both"/>
        <w:rPr>
          <w:rFonts w:ascii="Arial" w:eastAsia="Calibri" w:hAnsi="Arial" w:cs="Arial"/>
          <w:bCs/>
        </w:rPr>
      </w:pPr>
      <w:r w:rsidRPr="003E34CA">
        <w:rPr>
          <w:rFonts w:ascii="Arial" w:eastAsia="Calibri" w:hAnsi="Arial" w:cs="Arial"/>
          <w:bCs/>
        </w:rPr>
        <w:t xml:space="preserve">Poprvé MŠMT </w:t>
      </w:r>
      <w:r w:rsidR="00853FEA">
        <w:rPr>
          <w:rFonts w:ascii="Arial" w:eastAsia="Calibri" w:hAnsi="Arial" w:cs="Arial"/>
          <w:bCs/>
        </w:rPr>
        <w:t>vy</w:t>
      </w:r>
      <w:r w:rsidRPr="003E34CA">
        <w:rPr>
          <w:rFonts w:ascii="Arial" w:eastAsia="Calibri" w:hAnsi="Arial" w:cs="Arial"/>
          <w:bCs/>
        </w:rPr>
        <w:t>pracovalo Cestovní mapu velkých výzkumných infrastruktur ČR v roce 2010</w:t>
      </w:r>
      <w:r w:rsidR="00853FEA">
        <w:rPr>
          <w:rFonts w:ascii="Arial" w:eastAsia="Calibri" w:hAnsi="Arial" w:cs="Arial"/>
          <w:bCs/>
        </w:rPr>
        <w:t>,</w:t>
      </w:r>
      <w:r w:rsidRPr="003E34CA">
        <w:rPr>
          <w:rFonts w:ascii="Arial" w:eastAsia="Calibri" w:hAnsi="Arial" w:cs="Arial"/>
          <w:bCs/>
        </w:rPr>
        <w:t xml:space="preserve"> </w:t>
      </w:r>
      <w:r w:rsidR="00853FEA">
        <w:rPr>
          <w:rFonts w:ascii="Arial" w:eastAsia="Calibri" w:hAnsi="Arial" w:cs="Arial"/>
          <w:bCs/>
        </w:rPr>
        <w:t>přičemž</w:t>
      </w:r>
      <w:r w:rsidRPr="003E34CA">
        <w:rPr>
          <w:rFonts w:ascii="Arial" w:eastAsia="Calibri" w:hAnsi="Arial" w:cs="Arial"/>
          <w:bCs/>
        </w:rPr>
        <w:t xml:space="preserve"> její aktualizace </w:t>
      </w:r>
      <w:r w:rsidR="00853FEA">
        <w:rPr>
          <w:rFonts w:ascii="Arial" w:eastAsia="Calibri" w:hAnsi="Arial" w:cs="Arial"/>
          <w:bCs/>
        </w:rPr>
        <w:t>následovaly</w:t>
      </w:r>
      <w:r w:rsidRPr="003E34CA">
        <w:rPr>
          <w:rFonts w:ascii="Arial" w:eastAsia="Calibri" w:hAnsi="Arial" w:cs="Arial"/>
          <w:bCs/>
        </w:rPr>
        <w:t xml:space="preserve"> v letech 2011, 2015 a 2019.</w:t>
      </w:r>
      <w:r w:rsidR="00CA1D19">
        <w:rPr>
          <w:rFonts w:ascii="Arial" w:eastAsia="Calibri" w:hAnsi="Arial" w:cs="Arial"/>
          <w:bCs/>
        </w:rPr>
        <w:t xml:space="preserve"> </w:t>
      </w:r>
      <w:r w:rsidR="007813FC" w:rsidRPr="00D06C74">
        <w:rPr>
          <w:rFonts w:ascii="Arial" w:eastAsia="Calibri" w:hAnsi="Arial" w:cs="Arial"/>
          <w:b/>
        </w:rPr>
        <w:t xml:space="preserve">Další aktualizace Cestovní mapy </w:t>
      </w:r>
      <w:r w:rsidR="00853FEA" w:rsidRPr="00D06C74">
        <w:rPr>
          <w:rFonts w:ascii="Arial" w:eastAsia="Calibri" w:hAnsi="Arial" w:cs="Arial"/>
          <w:b/>
        </w:rPr>
        <w:t xml:space="preserve">velkých výzkumných infrastruktur ČR </w:t>
      </w:r>
      <w:r w:rsidR="007813FC" w:rsidRPr="00D06C74">
        <w:rPr>
          <w:rFonts w:ascii="Arial" w:eastAsia="Calibri" w:hAnsi="Arial" w:cs="Arial"/>
          <w:b/>
        </w:rPr>
        <w:t>je plánov</w:t>
      </w:r>
      <w:r w:rsidR="00CA1D19">
        <w:rPr>
          <w:rFonts w:ascii="Arial" w:eastAsia="Calibri" w:hAnsi="Arial" w:cs="Arial"/>
          <w:b/>
        </w:rPr>
        <w:t>á</w:t>
      </w:r>
      <w:r w:rsidR="007813FC" w:rsidRPr="00D06C74">
        <w:rPr>
          <w:rFonts w:ascii="Arial" w:eastAsia="Calibri" w:hAnsi="Arial" w:cs="Arial"/>
          <w:b/>
        </w:rPr>
        <w:t>n</w:t>
      </w:r>
      <w:r w:rsidR="00CA1D19">
        <w:rPr>
          <w:rFonts w:ascii="Arial" w:eastAsia="Calibri" w:hAnsi="Arial" w:cs="Arial"/>
          <w:b/>
        </w:rPr>
        <w:t>a</w:t>
      </w:r>
      <w:r w:rsidR="007813FC" w:rsidRPr="00D06C74">
        <w:rPr>
          <w:rFonts w:ascii="Arial" w:eastAsia="Calibri" w:hAnsi="Arial" w:cs="Arial"/>
          <w:b/>
        </w:rPr>
        <w:t xml:space="preserve"> </w:t>
      </w:r>
      <w:r w:rsidR="00CA1D19">
        <w:rPr>
          <w:rFonts w:ascii="Arial" w:eastAsia="Calibri" w:hAnsi="Arial" w:cs="Arial"/>
          <w:b/>
        </w:rPr>
        <w:t>v</w:t>
      </w:r>
      <w:r w:rsidR="007813FC" w:rsidRPr="00D06C74">
        <w:rPr>
          <w:rFonts w:ascii="Arial" w:eastAsia="Calibri" w:hAnsi="Arial" w:cs="Arial"/>
          <w:b/>
        </w:rPr>
        <w:t xml:space="preserve"> ro</w:t>
      </w:r>
      <w:r w:rsidR="00CA1D19">
        <w:rPr>
          <w:rFonts w:ascii="Arial" w:eastAsia="Calibri" w:hAnsi="Arial" w:cs="Arial"/>
          <w:b/>
        </w:rPr>
        <w:t>ce</w:t>
      </w:r>
      <w:r w:rsidR="007813FC" w:rsidRPr="00D06C74">
        <w:rPr>
          <w:rFonts w:ascii="Arial" w:eastAsia="Calibri" w:hAnsi="Arial" w:cs="Arial"/>
          <w:b/>
        </w:rPr>
        <w:t xml:space="preserve"> 2023</w:t>
      </w:r>
      <w:r w:rsidR="00CA1D19">
        <w:rPr>
          <w:rFonts w:ascii="Arial" w:eastAsia="Calibri" w:hAnsi="Arial" w:cs="Arial"/>
          <w:bCs/>
        </w:rPr>
        <w:t>, a to</w:t>
      </w:r>
      <w:r w:rsidR="00853FEA">
        <w:rPr>
          <w:rFonts w:ascii="Arial" w:eastAsia="Calibri" w:hAnsi="Arial" w:cs="Arial"/>
          <w:bCs/>
        </w:rPr>
        <w:t xml:space="preserve"> v návaznosti na schválení předkládaného návrhu </w:t>
      </w:r>
      <w:r w:rsidR="00853FEA" w:rsidRPr="004F5BC4">
        <w:rPr>
          <w:rFonts w:ascii="Arial" w:eastAsia="Calibri" w:hAnsi="Arial" w:cs="Arial"/>
        </w:rPr>
        <w:t>poskytování účelové podpory MŠMT velkým výzkumným infrastrukturám v letech 2023–2026</w:t>
      </w:r>
      <w:r w:rsidR="00853FEA">
        <w:rPr>
          <w:rFonts w:ascii="Arial" w:eastAsia="Calibri" w:hAnsi="Arial" w:cs="Arial"/>
        </w:rPr>
        <w:t>.</w:t>
      </w:r>
    </w:p>
    <w:p w14:paraId="00565947" w14:textId="77777777" w:rsidR="00643D6F" w:rsidRPr="00643D6F" w:rsidRDefault="00643D6F" w:rsidP="003E34CA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5605CA56" w14:textId="7ADC2267" w:rsidR="00A80CE1" w:rsidRPr="00EB7026" w:rsidRDefault="00A80CE1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Předsednictví ČR v Radě EU</w:t>
      </w:r>
    </w:p>
    <w:p w14:paraId="57325F19" w14:textId="77777777" w:rsidR="00106780" w:rsidRPr="00106780" w:rsidRDefault="00106780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486D1CAA" w14:textId="047118B8" w:rsidR="00853FEA" w:rsidRDefault="0004099C" w:rsidP="0004099C">
      <w:pPr>
        <w:spacing w:after="0" w:line="240" w:lineRule="auto"/>
        <w:jc w:val="both"/>
        <w:rPr>
          <w:rFonts w:ascii="Arial" w:eastAsia="Calibri" w:hAnsi="Arial" w:cs="Arial"/>
        </w:rPr>
      </w:pPr>
      <w:r w:rsidRPr="00A80CE1">
        <w:rPr>
          <w:rFonts w:ascii="Arial" w:eastAsia="Calibri" w:hAnsi="Arial" w:cs="Arial"/>
        </w:rPr>
        <w:t xml:space="preserve">Výzkumné infrastruktury </w:t>
      </w:r>
      <w:r w:rsidR="00A80CE1">
        <w:rPr>
          <w:rFonts w:ascii="Arial" w:eastAsia="Calibri" w:hAnsi="Arial" w:cs="Arial"/>
        </w:rPr>
        <w:t>jsou</w:t>
      </w:r>
      <w:r w:rsidRPr="00A80CE1">
        <w:rPr>
          <w:rFonts w:ascii="Arial" w:eastAsia="Calibri" w:hAnsi="Arial" w:cs="Arial"/>
        </w:rPr>
        <w:t xml:space="preserve"> společně s</w:t>
      </w:r>
      <w:r w:rsidR="00A80CE1">
        <w:rPr>
          <w:rFonts w:ascii="Arial" w:eastAsia="Calibri" w:hAnsi="Arial" w:cs="Arial"/>
        </w:rPr>
        <w:t>e</w:t>
      </w:r>
      <w:r w:rsidRPr="00A80CE1">
        <w:rPr>
          <w:rFonts w:ascii="Arial" w:eastAsia="Calibri" w:hAnsi="Arial" w:cs="Arial"/>
        </w:rPr>
        <w:t xml:space="preserve"> synergiemi ve financování </w:t>
      </w:r>
      <w:r w:rsidR="00A80CE1">
        <w:rPr>
          <w:rFonts w:ascii="Arial" w:eastAsia="Calibri" w:hAnsi="Arial" w:cs="Arial"/>
        </w:rPr>
        <w:t>VaVaI v Evropě a novou evropskou inovační agendou</w:t>
      </w:r>
      <w:r w:rsidRPr="00A80CE1">
        <w:rPr>
          <w:rFonts w:ascii="Arial" w:eastAsia="Calibri" w:hAnsi="Arial" w:cs="Arial"/>
        </w:rPr>
        <w:t xml:space="preserve"> zcela stěžejními prioritními tématy předsednictví ČR v Radě EU</w:t>
      </w:r>
      <w:r w:rsidR="00A51CA7">
        <w:rPr>
          <w:rFonts w:ascii="Arial" w:eastAsia="Calibri" w:hAnsi="Arial" w:cs="Arial"/>
        </w:rPr>
        <w:t>, co do oblasti výzkumné politiky</w:t>
      </w:r>
      <w:r w:rsidRPr="00A80CE1">
        <w:rPr>
          <w:rFonts w:ascii="Arial" w:eastAsia="Calibri" w:hAnsi="Arial" w:cs="Arial"/>
        </w:rPr>
        <w:t>.</w:t>
      </w:r>
      <w:r w:rsidR="00A3681B">
        <w:rPr>
          <w:rFonts w:ascii="Arial" w:eastAsia="Calibri" w:hAnsi="Arial" w:cs="Arial"/>
        </w:rPr>
        <w:t xml:space="preserve"> Jedná se přitom </w:t>
      </w:r>
      <w:r w:rsidR="00CB7595">
        <w:rPr>
          <w:rFonts w:ascii="Arial" w:eastAsia="Calibri" w:hAnsi="Arial" w:cs="Arial"/>
        </w:rPr>
        <w:t>také</w:t>
      </w:r>
      <w:r w:rsidR="00A3681B">
        <w:rPr>
          <w:rFonts w:ascii="Arial" w:eastAsia="Calibri" w:hAnsi="Arial" w:cs="Arial"/>
        </w:rPr>
        <w:t xml:space="preserve"> o jednu ze společných </w:t>
      </w:r>
      <w:r w:rsidR="00A3681B" w:rsidRPr="00CB7595">
        <w:rPr>
          <w:rFonts w:ascii="Arial" w:eastAsia="Calibri" w:hAnsi="Arial" w:cs="Arial"/>
          <w:b/>
          <w:bCs/>
        </w:rPr>
        <w:t>priorit nynějšího</w:t>
      </w:r>
      <w:r w:rsidR="00A3681B">
        <w:rPr>
          <w:rFonts w:ascii="Arial" w:eastAsia="Calibri" w:hAnsi="Arial" w:cs="Arial"/>
        </w:rPr>
        <w:t xml:space="preserve"> </w:t>
      </w:r>
      <w:r w:rsidR="00A3681B" w:rsidRPr="00A3681B">
        <w:rPr>
          <w:rFonts w:ascii="Arial" w:eastAsia="Calibri" w:hAnsi="Arial" w:cs="Arial"/>
          <w:b/>
          <w:bCs/>
        </w:rPr>
        <w:t>předsednického tria Francie, ČR a Švédska</w:t>
      </w:r>
      <w:r w:rsidR="00A3681B">
        <w:rPr>
          <w:rFonts w:ascii="Arial" w:eastAsia="Calibri" w:hAnsi="Arial" w:cs="Arial"/>
        </w:rPr>
        <w:t>.</w:t>
      </w:r>
    </w:p>
    <w:p w14:paraId="76F28B2D" w14:textId="77777777" w:rsidR="00853FEA" w:rsidRDefault="00853FEA" w:rsidP="0004099C">
      <w:pPr>
        <w:spacing w:after="0" w:line="240" w:lineRule="auto"/>
        <w:jc w:val="both"/>
        <w:rPr>
          <w:rFonts w:ascii="Arial" w:eastAsia="Calibri" w:hAnsi="Arial" w:cs="Arial"/>
        </w:rPr>
      </w:pPr>
    </w:p>
    <w:p w14:paraId="06207CC7" w14:textId="6F21BB0E" w:rsidR="0004099C" w:rsidRPr="00A80CE1" w:rsidRDefault="00A3681B" w:rsidP="0004099C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Cílem</w:t>
      </w:r>
      <w:r w:rsidR="00A51CA7" w:rsidRPr="00A3681B">
        <w:rPr>
          <w:rFonts w:ascii="Arial" w:eastAsia="Calibri" w:hAnsi="Arial" w:cs="Arial"/>
          <w:b/>
          <w:bCs/>
        </w:rPr>
        <w:t xml:space="preserve"> MŠMT, </w:t>
      </w:r>
      <w:r>
        <w:rPr>
          <w:rFonts w:ascii="Arial" w:eastAsia="Calibri" w:hAnsi="Arial" w:cs="Arial"/>
          <w:b/>
          <w:bCs/>
        </w:rPr>
        <w:t>jež</w:t>
      </w:r>
      <w:r w:rsidR="00A51CA7" w:rsidRPr="00A3681B">
        <w:rPr>
          <w:rFonts w:ascii="Arial" w:eastAsia="Calibri" w:hAnsi="Arial" w:cs="Arial"/>
          <w:b/>
          <w:bCs/>
        </w:rPr>
        <w:t xml:space="preserve"> je gestorem </w:t>
      </w:r>
      <w:r w:rsidR="0004099C" w:rsidRPr="00A3681B">
        <w:rPr>
          <w:rFonts w:ascii="Arial" w:eastAsia="Calibri" w:hAnsi="Arial" w:cs="Arial"/>
          <w:b/>
          <w:bCs/>
        </w:rPr>
        <w:t xml:space="preserve">předsednictví ČR v Radě EU </w:t>
      </w:r>
      <w:r w:rsidR="00A51CA7" w:rsidRPr="00A3681B">
        <w:rPr>
          <w:rFonts w:ascii="Arial" w:eastAsia="Calibri" w:hAnsi="Arial" w:cs="Arial"/>
          <w:b/>
          <w:bCs/>
        </w:rPr>
        <w:t xml:space="preserve">v sektorové </w:t>
      </w:r>
      <w:r>
        <w:rPr>
          <w:rFonts w:ascii="Arial" w:eastAsia="Calibri" w:hAnsi="Arial" w:cs="Arial"/>
          <w:b/>
          <w:bCs/>
        </w:rPr>
        <w:t>agendě</w:t>
      </w:r>
      <w:r w:rsidR="00853FEA" w:rsidRPr="00A3681B">
        <w:rPr>
          <w:rFonts w:ascii="Arial" w:eastAsia="Calibri" w:hAnsi="Arial" w:cs="Arial"/>
          <w:b/>
          <w:bCs/>
        </w:rPr>
        <w:t xml:space="preserve"> výzkumu</w:t>
      </w:r>
      <w:r w:rsidR="00A51CA7">
        <w:rPr>
          <w:rFonts w:ascii="Arial" w:eastAsia="Calibri" w:hAnsi="Arial" w:cs="Arial"/>
        </w:rPr>
        <w:t xml:space="preserve">, </w:t>
      </w:r>
      <w:r w:rsidR="0004099C" w:rsidRPr="00A80CE1">
        <w:rPr>
          <w:rFonts w:ascii="Arial" w:eastAsia="Calibri" w:hAnsi="Arial" w:cs="Arial"/>
        </w:rPr>
        <w:t xml:space="preserve">je </w:t>
      </w:r>
      <w:r w:rsidR="00853FEA">
        <w:rPr>
          <w:rFonts w:ascii="Arial" w:eastAsia="Calibri" w:hAnsi="Arial" w:cs="Arial"/>
        </w:rPr>
        <w:t>promítnout</w:t>
      </w:r>
      <w:r w:rsidR="0004099C" w:rsidRPr="00A80CE1">
        <w:rPr>
          <w:rFonts w:ascii="Arial" w:eastAsia="Calibri" w:hAnsi="Arial" w:cs="Arial"/>
        </w:rPr>
        <w:t xml:space="preserve"> priority rozvoj</w:t>
      </w:r>
      <w:r w:rsidR="00A51CA7">
        <w:rPr>
          <w:rFonts w:ascii="Arial" w:eastAsia="Calibri" w:hAnsi="Arial" w:cs="Arial"/>
        </w:rPr>
        <w:t>e</w:t>
      </w:r>
      <w:r w:rsidR="0004099C" w:rsidRPr="00A80CE1">
        <w:rPr>
          <w:rFonts w:ascii="Arial" w:eastAsia="Calibri" w:hAnsi="Arial" w:cs="Arial"/>
        </w:rPr>
        <w:t xml:space="preserve"> evropského výzkumně-infrastrukturního ekosystému z</w:t>
      </w:r>
      <w:r w:rsidR="00510DAF">
        <w:rPr>
          <w:rFonts w:ascii="Arial" w:eastAsia="Calibri" w:hAnsi="Arial" w:cs="Arial"/>
        </w:rPr>
        <w:t xml:space="preserve"> expertní </w:t>
      </w:r>
      <w:r w:rsidR="0004099C" w:rsidRPr="00A80CE1">
        <w:rPr>
          <w:rFonts w:ascii="Arial" w:eastAsia="Calibri" w:hAnsi="Arial" w:cs="Arial"/>
        </w:rPr>
        <w:t xml:space="preserve">úrovně ESFRI na úroveň politické agendy a přijmout </w:t>
      </w:r>
      <w:r w:rsidR="00C86744">
        <w:rPr>
          <w:rFonts w:ascii="Arial" w:eastAsia="Calibri" w:hAnsi="Arial" w:cs="Arial"/>
        </w:rPr>
        <w:t xml:space="preserve">tak </w:t>
      </w:r>
      <w:r>
        <w:rPr>
          <w:rFonts w:ascii="Arial" w:eastAsia="Calibri" w:hAnsi="Arial" w:cs="Arial"/>
        </w:rPr>
        <w:t xml:space="preserve">i </w:t>
      </w:r>
      <w:r w:rsidR="00C86744">
        <w:rPr>
          <w:rFonts w:ascii="Arial" w:eastAsia="Calibri" w:hAnsi="Arial" w:cs="Arial"/>
        </w:rPr>
        <w:t xml:space="preserve">politický </w:t>
      </w:r>
      <w:r w:rsidR="0004099C" w:rsidRPr="00A80CE1">
        <w:rPr>
          <w:rFonts w:ascii="Arial" w:eastAsia="Calibri" w:hAnsi="Arial" w:cs="Arial"/>
        </w:rPr>
        <w:t>závazek členských států EU k</w:t>
      </w:r>
      <w:r w:rsidR="00CB7595">
        <w:rPr>
          <w:rFonts w:ascii="Arial" w:eastAsia="Calibri" w:hAnsi="Arial" w:cs="Arial"/>
        </w:rPr>
        <w:t> </w:t>
      </w:r>
      <w:r w:rsidR="0004099C" w:rsidRPr="00A80CE1">
        <w:rPr>
          <w:rFonts w:ascii="Arial" w:eastAsia="Calibri" w:hAnsi="Arial" w:cs="Arial"/>
        </w:rPr>
        <w:t>rozvoj</w:t>
      </w:r>
      <w:r w:rsidR="00A51CA7">
        <w:rPr>
          <w:rFonts w:ascii="Arial" w:eastAsia="Calibri" w:hAnsi="Arial" w:cs="Arial"/>
        </w:rPr>
        <w:t>i</w:t>
      </w:r>
      <w:r w:rsidR="00CB7595">
        <w:rPr>
          <w:rFonts w:ascii="Arial" w:eastAsia="Calibri" w:hAnsi="Arial" w:cs="Arial"/>
        </w:rPr>
        <w:t xml:space="preserve"> evropského</w:t>
      </w:r>
      <w:r w:rsidR="0004099C" w:rsidRPr="00A80CE1">
        <w:rPr>
          <w:rFonts w:ascii="Arial" w:eastAsia="Calibri" w:hAnsi="Arial" w:cs="Arial"/>
        </w:rPr>
        <w:t xml:space="preserve"> výzkumně-infrastrukturního ekosystému formou </w:t>
      </w:r>
      <w:r w:rsidR="0004099C" w:rsidRPr="00A51CA7">
        <w:rPr>
          <w:rFonts w:ascii="Arial" w:eastAsia="Calibri" w:hAnsi="Arial" w:cs="Arial"/>
          <w:b/>
          <w:bCs/>
        </w:rPr>
        <w:t>Závěrů Rady EU</w:t>
      </w:r>
      <w:r w:rsidR="00A51CA7">
        <w:rPr>
          <w:rFonts w:ascii="Arial" w:eastAsia="Calibri" w:hAnsi="Arial" w:cs="Arial"/>
        </w:rPr>
        <w:t>.</w:t>
      </w:r>
    </w:p>
    <w:p w14:paraId="275F82EF" w14:textId="77777777" w:rsidR="0004099C" w:rsidRPr="00A80CE1" w:rsidRDefault="0004099C" w:rsidP="0004099C">
      <w:pPr>
        <w:spacing w:after="0" w:line="240" w:lineRule="auto"/>
        <w:jc w:val="both"/>
        <w:rPr>
          <w:rFonts w:ascii="Arial" w:eastAsia="Calibri" w:hAnsi="Arial" w:cs="Arial"/>
        </w:rPr>
      </w:pPr>
    </w:p>
    <w:p w14:paraId="6053F9E4" w14:textId="1580F387" w:rsidR="00C86744" w:rsidRDefault="00A3681B" w:rsidP="0004099C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Ambice MŠMT se ale nelimitují výlučně na evropskou dimenzi agendy. </w:t>
      </w:r>
      <w:r w:rsidR="00A51CA7">
        <w:rPr>
          <w:rFonts w:ascii="Arial" w:eastAsia="Calibri" w:hAnsi="Arial" w:cs="Arial"/>
        </w:rPr>
        <w:t>S cílem</w:t>
      </w:r>
      <w:r w:rsidR="0004099C" w:rsidRPr="00A80CE1">
        <w:rPr>
          <w:rFonts w:ascii="Arial" w:eastAsia="Calibri" w:hAnsi="Arial" w:cs="Arial"/>
        </w:rPr>
        <w:t xml:space="preserve"> zprostředkov</w:t>
      </w:r>
      <w:r w:rsidR="00A51CA7">
        <w:rPr>
          <w:rFonts w:ascii="Arial" w:eastAsia="Calibri" w:hAnsi="Arial" w:cs="Arial"/>
        </w:rPr>
        <w:t>at</w:t>
      </w:r>
      <w:r w:rsidR="0004099C" w:rsidRPr="00A80CE1">
        <w:rPr>
          <w:rFonts w:ascii="Arial" w:eastAsia="Calibri" w:hAnsi="Arial" w:cs="Arial"/>
        </w:rPr>
        <w:t xml:space="preserve"> debat</w:t>
      </w:r>
      <w:r w:rsidR="00A51CA7">
        <w:rPr>
          <w:rFonts w:ascii="Arial" w:eastAsia="Calibri" w:hAnsi="Arial" w:cs="Arial"/>
        </w:rPr>
        <w:t>y</w:t>
      </w:r>
      <w:r w:rsidR="0004099C" w:rsidRPr="00A80CE1">
        <w:rPr>
          <w:rFonts w:ascii="Arial" w:eastAsia="Calibri" w:hAnsi="Arial" w:cs="Arial"/>
        </w:rPr>
        <w:t xml:space="preserve"> k otázkám budoucího rozvoje politiky výzkumných infrastruktur v</w:t>
      </w:r>
      <w:r w:rsidR="00732581">
        <w:rPr>
          <w:rFonts w:ascii="Arial" w:eastAsia="Calibri" w:hAnsi="Arial" w:cs="Arial"/>
        </w:rPr>
        <w:t> EU, jakož i globálně uspo</w:t>
      </w:r>
      <w:r w:rsidR="0004099C" w:rsidRPr="00A80CE1">
        <w:rPr>
          <w:rFonts w:ascii="Arial" w:eastAsia="Calibri" w:hAnsi="Arial" w:cs="Arial"/>
        </w:rPr>
        <w:t>řád</w:t>
      </w:r>
      <w:r w:rsidR="00732581">
        <w:rPr>
          <w:rFonts w:ascii="Arial" w:eastAsia="Calibri" w:hAnsi="Arial" w:cs="Arial"/>
        </w:rPr>
        <w:t>alo</w:t>
      </w:r>
      <w:r w:rsidR="0004099C" w:rsidRPr="00A80CE1">
        <w:rPr>
          <w:rFonts w:ascii="Arial" w:eastAsia="Calibri" w:hAnsi="Arial" w:cs="Arial"/>
        </w:rPr>
        <w:t xml:space="preserve"> </w:t>
      </w:r>
      <w:r w:rsidR="00732581" w:rsidRPr="00A80CE1">
        <w:rPr>
          <w:rFonts w:ascii="Arial" w:eastAsia="Calibri" w:hAnsi="Arial" w:cs="Arial"/>
        </w:rPr>
        <w:t xml:space="preserve">ve dnech 19.–21. října 2022 </w:t>
      </w:r>
      <w:r w:rsidR="0004099C" w:rsidRPr="00A80CE1">
        <w:rPr>
          <w:rFonts w:ascii="Arial" w:eastAsia="Calibri" w:hAnsi="Arial" w:cs="Arial"/>
        </w:rPr>
        <w:t xml:space="preserve">MŠMT ve spolupráci s Masarykovou univerzitou a </w:t>
      </w:r>
      <w:r w:rsidR="00732581">
        <w:rPr>
          <w:rFonts w:ascii="Arial" w:eastAsia="Calibri" w:hAnsi="Arial" w:cs="Arial"/>
        </w:rPr>
        <w:t xml:space="preserve">se </w:t>
      </w:r>
      <w:r w:rsidR="0004099C" w:rsidRPr="00A80CE1">
        <w:rPr>
          <w:rFonts w:ascii="Arial" w:eastAsia="Calibri" w:hAnsi="Arial" w:cs="Arial"/>
        </w:rPr>
        <w:t xml:space="preserve">Středoevropským technologickým institutem konferenci </w:t>
      </w:r>
      <w:r w:rsidR="0004099C" w:rsidRPr="00A51CA7">
        <w:rPr>
          <w:rFonts w:ascii="Arial" w:eastAsia="Calibri" w:hAnsi="Arial" w:cs="Arial"/>
          <w:b/>
          <w:bCs/>
        </w:rPr>
        <w:t>ICRI 2022</w:t>
      </w:r>
      <w:r w:rsidR="0004099C" w:rsidRPr="00A80CE1">
        <w:rPr>
          <w:rFonts w:ascii="Arial" w:eastAsia="Calibri" w:hAnsi="Arial" w:cs="Arial"/>
        </w:rPr>
        <w:t xml:space="preserve"> (</w:t>
      </w:r>
      <w:r w:rsidR="0004099C" w:rsidRPr="00CF414B">
        <w:rPr>
          <w:rFonts w:ascii="Arial" w:eastAsia="Calibri" w:hAnsi="Arial" w:cs="Arial"/>
          <w:i/>
          <w:iCs/>
        </w:rPr>
        <w:t xml:space="preserve">International </w:t>
      </w:r>
      <w:proofErr w:type="spellStart"/>
      <w:r w:rsidR="0004099C" w:rsidRPr="00CF414B">
        <w:rPr>
          <w:rFonts w:ascii="Arial" w:eastAsia="Calibri" w:hAnsi="Arial" w:cs="Arial"/>
          <w:i/>
          <w:iCs/>
        </w:rPr>
        <w:t>Conference</w:t>
      </w:r>
      <w:proofErr w:type="spellEnd"/>
      <w:r w:rsidR="0004099C" w:rsidRPr="00CF414B">
        <w:rPr>
          <w:rFonts w:ascii="Arial" w:eastAsia="Calibri" w:hAnsi="Arial" w:cs="Arial"/>
          <w:i/>
          <w:iCs/>
        </w:rPr>
        <w:t xml:space="preserve"> on Research </w:t>
      </w:r>
      <w:proofErr w:type="spellStart"/>
      <w:r w:rsidR="0004099C" w:rsidRPr="00CF414B">
        <w:rPr>
          <w:rFonts w:ascii="Arial" w:eastAsia="Calibri" w:hAnsi="Arial" w:cs="Arial"/>
          <w:i/>
          <w:iCs/>
        </w:rPr>
        <w:t>Infrastructures</w:t>
      </w:r>
      <w:proofErr w:type="spellEnd"/>
      <w:r w:rsidR="0004099C" w:rsidRPr="00A80CE1">
        <w:rPr>
          <w:rFonts w:ascii="Arial" w:eastAsia="Calibri" w:hAnsi="Arial" w:cs="Arial"/>
        </w:rPr>
        <w:t>),</w:t>
      </w:r>
      <w:r w:rsidR="00732581">
        <w:rPr>
          <w:rFonts w:ascii="Arial" w:eastAsia="Calibri" w:hAnsi="Arial" w:cs="Arial"/>
        </w:rPr>
        <w:t xml:space="preserve"> a to za </w:t>
      </w:r>
      <w:r>
        <w:rPr>
          <w:rFonts w:ascii="Arial" w:eastAsia="Calibri" w:hAnsi="Arial" w:cs="Arial"/>
        </w:rPr>
        <w:t xml:space="preserve">účasti </w:t>
      </w:r>
      <w:r w:rsidR="00810BF8">
        <w:rPr>
          <w:rFonts w:ascii="Arial" w:eastAsia="Calibri" w:hAnsi="Arial" w:cs="Arial"/>
        </w:rPr>
        <w:t>věcně příslušných stakeholderů z celého světa</w:t>
      </w:r>
      <w:r>
        <w:rPr>
          <w:rFonts w:ascii="Arial" w:eastAsia="Calibri" w:hAnsi="Arial" w:cs="Arial"/>
        </w:rPr>
        <w:t>.</w:t>
      </w:r>
    </w:p>
    <w:p w14:paraId="684362A7" w14:textId="7B488B39" w:rsidR="00C86744" w:rsidRDefault="00732581" w:rsidP="0004099C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</w:t>
      </w:r>
      <w:r w:rsidR="0004099C" w:rsidRPr="00A51CA7">
        <w:rPr>
          <w:rFonts w:ascii="Arial" w:eastAsia="Calibri" w:hAnsi="Arial" w:cs="Arial"/>
        </w:rPr>
        <w:t xml:space="preserve"> příležitosti konání konference ICRI </w:t>
      </w:r>
      <w:r w:rsidR="00643D6F">
        <w:rPr>
          <w:rFonts w:ascii="Arial" w:eastAsia="Calibri" w:hAnsi="Arial" w:cs="Arial"/>
        </w:rPr>
        <w:t xml:space="preserve">2022 v </w:t>
      </w:r>
      <w:r w:rsidR="0004099C" w:rsidRPr="00A51CA7">
        <w:rPr>
          <w:rFonts w:ascii="Arial" w:eastAsia="Calibri" w:hAnsi="Arial" w:cs="Arial"/>
        </w:rPr>
        <w:t xml:space="preserve">Brně </w:t>
      </w:r>
      <w:r>
        <w:rPr>
          <w:rFonts w:ascii="Arial" w:eastAsia="Calibri" w:hAnsi="Arial" w:cs="Arial"/>
        </w:rPr>
        <w:t>byla slavnostně</w:t>
      </w:r>
      <w:r w:rsidR="0004099C" w:rsidRPr="00A51CA7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představena</w:t>
      </w:r>
      <w:r w:rsidR="0004099C" w:rsidRPr="00A51CA7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i </w:t>
      </w:r>
      <w:r w:rsidR="0004099C" w:rsidRPr="00A51CA7">
        <w:rPr>
          <w:rFonts w:ascii="Arial" w:eastAsia="Calibri" w:hAnsi="Arial" w:cs="Arial"/>
        </w:rPr>
        <w:t xml:space="preserve">tzv. </w:t>
      </w:r>
      <w:r w:rsidR="0004099C" w:rsidRPr="00A51CA7">
        <w:rPr>
          <w:rFonts w:ascii="Arial" w:eastAsia="Calibri" w:hAnsi="Arial" w:cs="Arial"/>
          <w:b/>
          <w:bCs/>
        </w:rPr>
        <w:t>Brněnsk</w:t>
      </w:r>
      <w:r>
        <w:rPr>
          <w:rFonts w:ascii="Arial" w:eastAsia="Calibri" w:hAnsi="Arial" w:cs="Arial"/>
          <w:b/>
          <w:bCs/>
        </w:rPr>
        <w:t>á</w:t>
      </w:r>
      <w:r w:rsidR="0004099C" w:rsidRPr="00A51CA7">
        <w:rPr>
          <w:rFonts w:ascii="Arial" w:eastAsia="Calibri" w:hAnsi="Arial" w:cs="Arial"/>
          <w:b/>
          <w:bCs/>
        </w:rPr>
        <w:t xml:space="preserve"> deklarace</w:t>
      </w:r>
      <w:r w:rsidR="0004099C" w:rsidRPr="00A51CA7">
        <w:rPr>
          <w:rFonts w:ascii="Arial" w:eastAsia="Calibri" w:hAnsi="Arial" w:cs="Arial"/>
        </w:rPr>
        <w:t xml:space="preserve"> k</w:t>
      </w:r>
      <w:r w:rsidR="00A51CA7">
        <w:rPr>
          <w:rFonts w:ascii="Arial" w:eastAsia="Calibri" w:hAnsi="Arial" w:cs="Arial"/>
        </w:rPr>
        <w:t xml:space="preserve"> rozvoji globálního ekosystému </w:t>
      </w:r>
      <w:r w:rsidR="0004099C" w:rsidRPr="00A51CA7">
        <w:rPr>
          <w:rFonts w:ascii="Arial" w:eastAsia="Calibri" w:hAnsi="Arial" w:cs="Arial"/>
        </w:rPr>
        <w:t>výzkumný</w:t>
      </w:r>
      <w:r w:rsidR="00A51CA7">
        <w:rPr>
          <w:rFonts w:ascii="Arial" w:eastAsia="Calibri" w:hAnsi="Arial" w:cs="Arial"/>
        </w:rPr>
        <w:t>ch</w:t>
      </w:r>
      <w:r w:rsidR="0004099C" w:rsidRPr="00A51CA7">
        <w:rPr>
          <w:rFonts w:ascii="Arial" w:eastAsia="Calibri" w:hAnsi="Arial" w:cs="Arial"/>
        </w:rPr>
        <w:t xml:space="preserve"> infrastruktur, jež </w:t>
      </w:r>
      <w:r>
        <w:rPr>
          <w:rFonts w:ascii="Arial" w:eastAsia="Calibri" w:hAnsi="Arial" w:cs="Arial"/>
        </w:rPr>
        <w:t>určuje</w:t>
      </w:r>
      <w:r w:rsidR="0004099C" w:rsidRPr="00A51CA7">
        <w:rPr>
          <w:rFonts w:ascii="Arial" w:eastAsia="Calibri" w:hAnsi="Arial" w:cs="Arial"/>
        </w:rPr>
        <w:t xml:space="preserve"> cíle pro rozvoj plně integrovaného</w:t>
      </w:r>
      <w:r w:rsidR="0004099C" w:rsidRPr="00A80CE1">
        <w:rPr>
          <w:rFonts w:ascii="Arial" w:eastAsia="Calibri" w:hAnsi="Arial" w:cs="Arial"/>
        </w:rPr>
        <w:t xml:space="preserve"> a interoperabilního celosvětového ekosystému výzkumných infrastruktur, jako </w:t>
      </w:r>
      <w:r w:rsidR="00C86744">
        <w:rPr>
          <w:rFonts w:ascii="Arial" w:eastAsia="Calibri" w:hAnsi="Arial" w:cs="Arial"/>
        </w:rPr>
        <w:t xml:space="preserve">nedílné </w:t>
      </w:r>
      <w:r w:rsidR="0004099C" w:rsidRPr="00A80CE1">
        <w:rPr>
          <w:rFonts w:ascii="Arial" w:eastAsia="Calibri" w:hAnsi="Arial" w:cs="Arial"/>
        </w:rPr>
        <w:t>součásti kritické infrastruktury a nástroje řešení socioekonomických výzev pomocí znalostních řešení.</w:t>
      </w:r>
    </w:p>
    <w:p w14:paraId="27645073" w14:textId="77777777" w:rsidR="00A91D74" w:rsidRPr="0004099C" w:rsidRDefault="00A91D74" w:rsidP="0004099C">
      <w:pPr>
        <w:spacing w:after="0" w:line="240" w:lineRule="auto"/>
        <w:jc w:val="both"/>
        <w:rPr>
          <w:rFonts w:ascii="Arial" w:eastAsia="Calibri" w:hAnsi="Arial" w:cs="Arial"/>
        </w:rPr>
      </w:pPr>
    </w:p>
    <w:p w14:paraId="331CFB67" w14:textId="02B5559C" w:rsidR="00106780" w:rsidRPr="00AF0A88" w:rsidRDefault="0010678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caps/>
          <w:u w:val="single"/>
        </w:rPr>
      </w:pPr>
      <w:r w:rsidRPr="00AF0A88">
        <w:rPr>
          <w:rFonts w:ascii="Arial" w:eastAsia="Calibri" w:hAnsi="Arial" w:cs="Arial"/>
          <w:b/>
          <w:caps/>
          <w:u w:val="single"/>
        </w:rPr>
        <w:t>Mezinárodní hodnocení velkých výzkumných infrastruktur</w:t>
      </w:r>
    </w:p>
    <w:p w14:paraId="79E572DC" w14:textId="760D85BE" w:rsidR="00106780" w:rsidRDefault="00106780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6CD6282D" w14:textId="5314D86C" w:rsidR="00510DAF" w:rsidRDefault="003504FC" w:rsidP="00367B8B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Cílem</w:t>
      </w:r>
      <w:r w:rsidR="00367B8B" w:rsidRPr="00367B8B">
        <w:rPr>
          <w:bCs/>
          <w:sz w:val="22"/>
          <w:szCs w:val="22"/>
        </w:rPr>
        <w:t xml:space="preserve"> </w:t>
      </w:r>
      <w:hyperlink r:id="rId16" w:history="1">
        <w:r w:rsidR="00367B8B" w:rsidRPr="003504FC">
          <w:rPr>
            <w:rStyle w:val="Hypertextovodkaz"/>
            <w:b/>
            <w:color w:val="0070C0"/>
            <w:sz w:val="22"/>
            <w:szCs w:val="22"/>
          </w:rPr>
          <w:t xml:space="preserve">mezinárodního hodnocení velkých výzkumných infrastruktur </w:t>
        </w:r>
        <w:r>
          <w:rPr>
            <w:rStyle w:val="Hypertextovodkaz"/>
            <w:b/>
            <w:color w:val="0070C0"/>
            <w:sz w:val="22"/>
            <w:szCs w:val="22"/>
          </w:rPr>
          <w:t>provedeného</w:t>
        </w:r>
        <w:r w:rsidR="00367B8B" w:rsidRPr="003504FC">
          <w:rPr>
            <w:rStyle w:val="Hypertextovodkaz"/>
            <w:b/>
            <w:color w:val="0070C0"/>
            <w:sz w:val="22"/>
            <w:szCs w:val="22"/>
          </w:rPr>
          <w:t xml:space="preserve"> MŠMT v roce 2021</w:t>
        </w:r>
      </w:hyperlink>
      <w:r w:rsidR="00367B8B">
        <w:rPr>
          <w:bCs/>
          <w:sz w:val="22"/>
          <w:szCs w:val="22"/>
        </w:rPr>
        <w:t xml:space="preserve"> </w:t>
      </w:r>
      <w:r w:rsidR="00367B8B" w:rsidRPr="00367B8B">
        <w:rPr>
          <w:bCs/>
          <w:sz w:val="22"/>
          <w:szCs w:val="22"/>
        </w:rPr>
        <w:t xml:space="preserve">bylo </w:t>
      </w:r>
      <w:r w:rsidR="00367B8B">
        <w:rPr>
          <w:bCs/>
          <w:sz w:val="22"/>
          <w:szCs w:val="22"/>
        </w:rPr>
        <w:t>získat</w:t>
      </w:r>
      <w:r w:rsidR="00367B8B" w:rsidRPr="00367B8B">
        <w:rPr>
          <w:bCs/>
          <w:sz w:val="22"/>
          <w:szCs w:val="22"/>
        </w:rPr>
        <w:t xml:space="preserve"> nezávisl</w:t>
      </w:r>
      <w:r w:rsidR="00367B8B">
        <w:rPr>
          <w:bCs/>
          <w:sz w:val="22"/>
          <w:szCs w:val="22"/>
        </w:rPr>
        <w:t>é</w:t>
      </w:r>
      <w:r w:rsidR="00367B8B" w:rsidRPr="00367B8B">
        <w:rPr>
          <w:bCs/>
          <w:sz w:val="22"/>
          <w:szCs w:val="22"/>
        </w:rPr>
        <w:t xml:space="preserve"> odborn</w:t>
      </w:r>
      <w:r w:rsidR="00367B8B">
        <w:rPr>
          <w:bCs/>
          <w:sz w:val="22"/>
          <w:szCs w:val="22"/>
        </w:rPr>
        <w:t>é</w:t>
      </w:r>
      <w:r w:rsidR="00367B8B" w:rsidRPr="00367B8B">
        <w:rPr>
          <w:bCs/>
          <w:sz w:val="22"/>
          <w:szCs w:val="22"/>
        </w:rPr>
        <w:t xml:space="preserve"> podklad</w:t>
      </w:r>
      <w:r w:rsidR="00367B8B">
        <w:rPr>
          <w:bCs/>
          <w:sz w:val="22"/>
          <w:szCs w:val="22"/>
        </w:rPr>
        <w:t>y</w:t>
      </w:r>
      <w:r w:rsidR="00367B8B" w:rsidRPr="00367B8B">
        <w:rPr>
          <w:bCs/>
          <w:sz w:val="22"/>
          <w:szCs w:val="22"/>
        </w:rPr>
        <w:t xml:space="preserve"> </w:t>
      </w:r>
      <w:r w:rsidR="00367B8B">
        <w:rPr>
          <w:bCs/>
          <w:sz w:val="22"/>
          <w:szCs w:val="22"/>
        </w:rPr>
        <w:t>sloužící pro</w:t>
      </w:r>
      <w:r w:rsidR="00367B8B" w:rsidRPr="00367B8B">
        <w:rPr>
          <w:bCs/>
          <w:sz w:val="22"/>
          <w:szCs w:val="22"/>
        </w:rPr>
        <w:t xml:space="preserve"> přijetí informovaného </w:t>
      </w:r>
      <w:r w:rsidR="00367B8B">
        <w:rPr>
          <w:bCs/>
          <w:sz w:val="22"/>
          <w:szCs w:val="22"/>
        </w:rPr>
        <w:t xml:space="preserve">a na důkazech postaveného </w:t>
      </w:r>
      <w:r w:rsidR="00367B8B" w:rsidRPr="00367B8B">
        <w:rPr>
          <w:bCs/>
          <w:sz w:val="22"/>
          <w:szCs w:val="22"/>
        </w:rPr>
        <w:t xml:space="preserve">politického rozhodnutí vlády ČR o </w:t>
      </w:r>
      <w:r>
        <w:rPr>
          <w:bCs/>
          <w:sz w:val="22"/>
          <w:szCs w:val="22"/>
        </w:rPr>
        <w:t>financování</w:t>
      </w:r>
      <w:r w:rsidR="00367B8B" w:rsidRPr="00367B8B">
        <w:rPr>
          <w:bCs/>
          <w:sz w:val="22"/>
          <w:szCs w:val="22"/>
        </w:rPr>
        <w:t xml:space="preserve"> velkých výzkumných infrastruktur z veřejných prostředků ČR </w:t>
      </w:r>
      <w:r w:rsidR="00367B8B">
        <w:rPr>
          <w:bCs/>
          <w:sz w:val="22"/>
          <w:szCs w:val="22"/>
        </w:rPr>
        <w:t>v období po roce 2022</w:t>
      </w:r>
      <w:r w:rsidR="00367B8B" w:rsidRPr="00367B8B">
        <w:rPr>
          <w:bCs/>
          <w:sz w:val="22"/>
          <w:szCs w:val="22"/>
        </w:rPr>
        <w:t>.</w:t>
      </w:r>
      <w:r w:rsidR="00510DAF">
        <w:rPr>
          <w:bCs/>
          <w:sz w:val="22"/>
          <w:szCs w:val="22"/>
        </w:rPr>
        <w:t xml:space="preserve"> Analogická evaluace proběhla v gesci MŠMT již i v letech 2014 a 2017 a je nedílnou součástí koncepce velkých výzkumných infrastruktur připravované a implementované MŠMT.</w:t>
      </w:r>
    </w:p>
    <w:p w14:paraId="2F999539" w14:textId="77777777" w:rsidR="00510DAF" w:rsidRPr="00367B8B" w:rsidRDefault="00510DAF" w:rsidP="00367B8B">
      <w:pPr>
        <w:pStyle w:val="Default"/>
        <w:jc w:val="both"/>
        <w:rPr>
          <w:bCs/>
          <w:sz w:val="22"/>
          <w:szCs w:val="22"/>
        </w:rPr>
      </w:pPr>
    </w:p>
    <w:p w14:paraId="616D08BF" w14:textId="77777777" w:rsidR="005814AB" w:rsidRPr="005814AB" w:rsidRDefault="005814AB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vanish/>
          <w:u w:val="single"/>
        </w:rPr>
      </w:pPr>
    </w:p>
    <w:p w14:paraId="338C78FE" w14:textId="1B683025" w:rsidR="005814AB" w:rsidRPr="00EB7026" w:rsidRDefault="005814AB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Politick</w:t>
      </w:r>
      <w:r w:rsidR="00367B8B">
        <w:rPr>
          <w:rFonts w:ascii="Arial" w:eastAsia="Calibri" w:hAnsi="Arial" w:cs="Arial"/>
          <w:b/>
          <w:bCs/>
          <w:u w:val="single"/>
        </w:rPr>
        <w:t>á východiska</w:t>
      </w:r>
    </w:p>
    <w:p w14:paraId="47F96C71" w14:textId="77777777" w:rsidR="005814AB" w:rsidRDefault="005814AB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687FAFD9" w14:textId="3FA2C81F" w:rsidR="00C86744" w:rsidRPr="00E26AB9" w:rsidRDefault="00367B8B" w:rsidP="00C86744">
      <w:pPr>
        <w:pStyle w:val="Default"/>
        <w:jc w:val="both"/>
        <w:rPr>
          <w:sz w:val="22"/>
          <w:szCs w:val="22"/>
        </w:rPr>
      </w:pPr>
      <w:r>
        <w:rPr>
          <w:rFonts w:eastAsia="Calibri"/>
          <w:sz w:val="22"/>
        </w:rPr>
        <w:t xml:space="preserve">MŠMT uspořádalo mezinárodní hodnocení velkých výzkumných infrastruktur </w:t>
      </w:r>
      <w:r w:rsidR="005814AB">
        <w:rPr>
          <w:rFonts w:eastAsia="Calibri"/>
          <w:sz w:val="22"/>
        </w:rPr>
        <w:t xml:space="preserve">na základě </w:t>
      </w:r>
      <w:r w:rsidR="005814AB" w:rsidRPr="005F4189">
        <w:rPr>
          <w:rFonts w:eastAsia="Calibri"/>
          <w:b/>
          <w:sz w:val="22"/>
        </w:rPr>
        <w:t>bodu II.</w:t>
      </w:r>
      <w:r w:rsidR="005814AB">
        <w:rPr>
          <w:rFonts w:eastAsia="Calibri"/>
          <w:b/>
          <w:sz w:val="22"/>
        </w:rPr>
        <w:t xml:space="preserve"> </w:t>
      </w:r>
      <w:r w:rsidR="005814AB" w:rsidRPr="005F4189">
        <w:rPr>
          <w:rFonts w:eastAsia="Calibri"/>
          <w:b/>
          <w:sz w:val="22"/>
        </w:rPr>
        <w:t>3 usnesení vlády ČR ze dne 12. prosince 201</w:t>
      </w:r>
      <w:r w:rsidR="005814AB">
        <w:rPr>
          <w:rFonts w:eastAsia="Calibri"/>
          <w:b/>
          <w:sz w:val="22"/>
        </w:rPr>
        <w:t>8</w:t>
      </w:r>
      <w:r w:rsidR="005814AB" w:rsidRPr="005F4189">
        <w:rPr>
          <w:rFonts w:eastAsia="Calibri"/>
          <w:b/>
          <w:sz w:val="22"/>
        </w:rPr>
        <w:t xml:space="preserve"> č. 836</w:t>
      </w:r>
      <w:r w:rsidR="00C86744">
        <w:rPr>
          <w:sz w:val="22"/>
          <w:szCs w:val="22"/>
        </w:rPr>
        <w:t>.</w:t>
      </w:r>
      <w:r w:rsidR="005814AB">
        <w:rPr>
          <w:sz w:val="22"/>
          <w:szCs w:val="22"/>
        </w:rPr>
        <w:t xml:space="preserve"> </w:t>
      </w:r>
      <w:r w:rsidR="005814AB">
        <w:rPr>
          <w:rFonts w:eastAsia="Calibri"/>
          <w:sz w:val="22"/>
        </w:rPr>
        <w:t>V souladu s</w:t>
      </w:r>
      <w:r w:rsidR="00C86744">
        <w:rPr>
          <w:rFonts w:eastAsia="Calibri"/>
          <w:sz w:val="22"/>
        </w:rPr>
        <w:t xml:space="preserve"> </w:t>
      </w:r>
      <w:r w:rsidR="00C86744" w:rsidRPr="005F4189">
        <w:rPr>
          <w:rFonts w:eastAsia="Calibri"/>
          <w:b/>
          <w:sz w:val="22"/>
        </w:rPr>
        <w:t>bod</w:t>
      </w:r>
      <w:r w:rsidR="005814AB">
        <w:rPr>
          <w:rFonts w:eastAsia="Calibri"/>
          <w:b/>
          <w:sz w:val="22"/>
        </w:rPr>
        <w:t>em</w:t>
      </w:r>
      <w:r w:rsidR="00C86744" w:rsidRPr="005F4189">
        <w:rPr>
          <w:rFonts w:eastAsia="Calibri"/>
          <w:b/>
          <w:sz w:val="22"/>
        </w:rPr>
        <w:t xml:space="preserve"> II.</w:t>
      </w:r>
      <w:r w:rsidR="00C86744">
        <w:rPr>
          <w:rFonts w:eastAsia="Calibri"/>
          <w:b/>
          <w:sz w:val="22"/>
        </w:rPr>
        <w:t xml:space="preserve"> </w:t>
      </w:r>
      <w:r w:rsidR="00C86744" w:rsidRPr="005F4189">
        <w:rPr>
          <w:rFonts w:eastAsia="Calibri"/>
          <w:b/>
          <w:sz w:val="22"/>
        </w:rPr>
        <w:t>4 usnesení vlády ČR ze dne 12. prosince 201</w:t>
      </w:r>
      <w:r w:rsidR="00C86744">
        <w:rPr>
          <w:rFonts w:eastAsia="Calibri"/>
          <w:b/>
          <w:sz w:val="22"/>
        </w:rPr>
        <w:t>8</w:t>
      </w:r>
      <w:r w:rsidR="00C86744" w:rsidRPr="005F4189">
        <w:rPr>
          <w:rFonts w:eastAsia="Calibri"/>
          <w:b/>
          <w:sz w:val="22"/>
        </w:rPr>
        <w:t xml:space="preserve"> č. 836</w:t>
      </w:r>
      <w:r w:rsidR="00C86744">
        <w:rPr>
          <w:rFonts w:eastAsia="Calibri"/>
          <w:sz w:val="22"/>
        </w:rPr>
        <w:t xml:space="preserve"> </w:t>
      </w:r>
      <w:r w:rsidR="007914F8">
        <w:rPr>
          <w:rFonts w:eastAsia="Calibri"/>
          <w:sz w:val="22"/>
        </w:rPr>
        <w:t>poté</w:t>
      </w:r>
      <w:r>
        <w:rPr>
          <w:rFonts w:eastAsia="Calibri"/>
          <w:sz w:val="22"/>
        </w:rPr>
        <w:t xml:space="preserve"> </w:t>
      </w:r>
      <w:r w:rsidR="005814AB">
        <w:rPr>
          <w:rFonts w:eastAsia="Calibri"/>
          <w:sz w:val="22"/>
        </w:rPr>
        <w:t>MŠMT</w:t>
      </w:r>
      <w:r w:rsidR="00C86744">
        <w:rPr>
          <w:rFonts w:eastAsia="Calibri"/>
          <w:sz w:val="22"/>
        </w:rPr>
        <w:t xml:space="preserve"> </w:t>
      </w:r>
      <w:r w:rsidR="00C86744" w:rsidRPr="001C64E8">
        <w:rPr>
          <w:rFonts w:eastAsia="Calibri"/>
          <w:sz w:val="22"/>
        </w:rPr>
        <w:t>předloži</w:t>
      </w:r>
      <w:r w:rsidR="005814AB">
        <w:rPr>
          <w:rFonts w:eastAsia="Calibri"/>
          <w:sz w:val="22"/>
        </w:rPr>
        <w:t>lo</w:t>
      </w:r>
      <w:r w:rsidR="00C86744" w:rsidRPr="001C64E8">
        <w:rPr>
          <w:rFonts w:eastAsia="Calibri"/>
          <w:sz w:val="22"/>
        </w:rPr>
        <w:t xml:space="preserve"> pro informaci </w:t>
      </w:r>
      <w:r w:rsidR="005814AB">
        <w:rPr>
          <w:rFonts w:eastAsia="Calibri"/>
          <w:sz w:val="22"/>
        </w:rPr>
        <w:t xml:space="preserve">členů vlády ČR dne 6. prosince 2021 </w:t>
      </w:r>
      <w:r w:rsidR="007914F8">
        <w:rPr>
          <w:rFonts w:eastAsia="Calibri"/>
          <w:sz w:val="22"/>
        </w:rPr>
        <w:t>z</w:t>
      </w:r>
      <w:r w:rsidR="00C86744" w:rsidRPr="001C64E8">
        <w:rPr>
          <w:rFonts w:eastAsia="Calibri"/>
          <w:sz w:val="22"/>
        </w:rPr>
        <w:t xml:space="preserve">právu o výstupech </w:t>
      </w:r>
      <w:r w:rsidR="005814AB">
        <w:rPr>
          <w:rFonts w:eastAsia="Calibri"/>
          <w:sz w:val="22"/>
        </w:rPr>
        <w:t xml:space="preserve">provedeného </w:t>
      </w:r>
      <w:r w:rsidR="00C86744" w:rsidRPr="001C64E8">
        <w:rPr>
          <w:rFonts w:eastAsia="Calibri"/>
          <w:sz w:val="22"/>
        </w:rPr>
        <w:t>mezinárodního hodnocení velkých výzkumných infrastruktur</w:t>
      </w:r>
      <w:r w:rsidR="00C86744">
        <w:rPr>
          <w:rFonts w:eastAsia="Calibri"/>
          <w:sz w:val="22"/>
        </w:rPr>
        <w:t xml:space="preserve"> </w:t>
      </w:r>
      <w:r w:rsidR="005814AB">
        <w:rPr>
          <w:rFonts w:eastAsia="Calibri"/>
          <w:sz w:val="22"/>
        </w:rPr>
        <w:t xml:space="preserve">a vláda </w:t>
      </w:r>
      <w:r>
        <w:rPr>
          <w:rFonts w:eastAsia="Calibri"/>
          <w:sz w:val="22"/>
        </w:rPr>
        <w:t>ČR j</w:t>
      </w:r>
      <w:r w:rsidR="007914F8">
        <w:rPr>
          <w:rFonts w:eastAsia="Calibri"/>
          <w:sz w:val="22"/>
        </w:rPr>
        <w:t>i</w:t>
      </w:r>
      <w:r>
        <w:rPr>
          <w:rFonts w:eastAsia="Calibri"/>
          <w:sz w:val="22"/>
        </w:rPr>
        <w:t xml:space="preserve"> vzala na vědomí</w:t>
      </w:r>
      <w:r w:rsidR="00510DAF">
        <w:rPr>
          <w:rFonts w:eastAsia="Calibri"/>
          <w:sz w:val="22"/>
        </w:rPr>
        <w:t xml:space="preserve"> (materiál č.j. 1</w:t>
      </w:r>
      <w:r w:rsidR="00510DAF" w:rsidRPr="00510DAF">
        <w:rPr>
          <w:rFonts w:eastAsia="Calibri"/>
          <w:sz w:val="22"/>
        </w:rPr>
        <w:t>451/21</w:t>
      </w:r>
      <w:r w:rsidR="00510DAF">
        <w:rPr>
          <w:rFonts w:eastAsia="Calibri"/>
          <w:sz w:val="22"/>
        </w:rPr>
        <w:t>)</w:t>
      </w:r>
      <w:r w:rsidR="00C86744">
        <w:rPr>
          <w:rFonts w:eastAsia="Calibri"/>
          <w:sz w:val="22"/>
        </w:rPr>
        <w:t>.</w:t>
      </w:r>
    </w:p>
    <w:p w14:paraId="291C37DE" w14:textId="7FAC030A" w:rsidR="007914F8" w:rsidRDefault="007914F8" w:rsidP="00C86744">
      <w:pPr>
        <w:pStyle w:val="Default"/>
        <w:jc w:val="both"/>
        <w:rPr>
          <w:rFonts w:eastAsia="Calibri"/>
          <w:sz w:val="22"/>
        </w:rPr>
      </w:pPr>
    </w:p>
    <w:p w14:paraId="1E2FAC22" w14:textId="256E9C4C" w:rsidR="001230C9" w:rsidRPr="00EB7026" w:rsidRDefault="001230C9" w:rsidP="001230C9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Předmět hodnocení</w:t>
      </w:r>
    </w:p>
    <w:p w14:paraId="2B05F25D" w14:textId="77777777" w:rsidR="001230C9" w:rsidRDefault="001230C9" w:rsidP="00C86744">
      <w:pPr>
        <w:pStyle w:val="Default"/>
        <w:jc w:val="both"/>
        <w:rPr>
          <w:rFonts w:eastAsia="Calibri"/>
          <w:sz w:val="22"/>
        </w:rPr>
      </w:pPr>
    </w:p>
    <w:p w14:paraId="7B74E42A" w14:textId="77777777" w:rsidR="001230C9" w:rsidRDefault="00C86744" w:rsidP="00C86744">
      <w:pPr>
        <w:pStyle w:val="Default"/>
        <w:jc w:val="both"/>
        <w:rPr>
          <w:bCs/>
          <w:sz w:val="22"/>
          <w:szCs w:val="22"/>
        </w:rPr>
      </w:pPr>
      <w:r w:rsidRPr="007914F8">
        <w:rPr>
          <w:bCs/>
          <w:sz w:val="22"/>
          <w:szCs w:val="22"/>
        </w:rPr>
        <w:t>V souladu s </w:t>
      </w:r>
      <w:r w:rsidRPr="00E26AB9">
        <w:rPr>
          <w:b/>
          <w:sz w:val="22"/>
          <w:szCs w:val="22"/>
        </w:rPr>
        <w:t>usnesením vlády ČR ze dne 15. června 2015 č. 482</w:t>
      </w:r>
      <w:r w:rsidRPr="007914F8">
        <w:rPr>
          <w:bCs/>
          <w:sz w:val="22"/>
          <w:szCs w:val="22"/>
        </w:rPr>
        <w:t xml:space="preserve"> a </w:t>
      </w:r>
      <w:r w:rsidRPr="00E26AB9">
        <w:rPr>
          <w:b/>
          <w:sz w:val="22"/>
          <w:szCs w:val="22"/>
        </w:rPr>
        <w:t>usnesením vlády ČR ze dne 12. prosince 2018 č. 836</w:t>
      </w:r>
      <w:r w:rsidRPr="00FA450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bude MŠMT do konce roku 2022 poskytovat účelovou podporu 4</w:t>
      </w:r>
      <w:r w:rsidR="007914F8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 xml:space="preserve"> projektům velkých výzkumných infrastruktur.</w:t>
      </w:r>
      <w:r w:rsidR="007914F8">
        <w:rPr>
          <w:rStyle w:val="Znakapoznpodarou"/>
          <w:bCs/>
          <w:sz w:val="22"/>
          <w:szCs w:val="22"/>
        </w:rPr>
        <w:footnoteReference w:id="2"/>
      </w:r>
      <w:r>
        <w:rPr>
          <w:bCs/>
          <w:sz w:val="22"/>
          <w:szCs w:val="22"/>
        </w:rPr>
        <w:t xml:space="preserve"> </w:t>
      </w:r>
    </w:p>
    <w:p w14:paraId="23ABB712" w14:textId="77777777" w:rsidR="001230C9" w:rsidRDefault="001230C9" w:rsidP="00C86744">
      <w:pPr>
        <w:pStyle w:val="Default"/>
        <w:jc w:val="both"/>
        <w:rPr>
          <w:bCs/>
          <w:sz w:val="22"/>
          <w:szCs w:val="22"/>
        </w:rPr>
      </w:pPr>
    </w:p>
    <w:p w14:paraId="4233DE49" w14:textId="0FC0D519" w:rsidR="00C86744" w:rsidRDefault="00C86744" w:rsidP="00C86744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Tyto projekty</w:t>
      </w:r>
      <w:r w:rsidR="00AF0A88">
        <w:rPr>
          <w:bCs/>
          <w:sz w:val="22"/>
          <w:szCs w:val="22"/>
        </w:rPr>
        <w:t>,</w:t>
      </w:r>
      <w:r w:rsidR="007914F8">
        <w:rPr>
          <w:bCs/>
          <w:sz w:val="22"/>
          <w:szCs w:val="22"/>
        </w:rPr>
        <w:t xml:space="preserve"> jako projekty již </w:t>
      </w:r>
      <w:r w:rsidR="001230C9">
        <w:rPr>
          <w:bCs/>
          <w:sz w:val="22"/>
          <w:szCs w:val="22"/>
        </w:rPr>
        <w:t>implementované</w:t>
      </w:r>
      <w:r w:rsidR="007914F8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byly </w:t>
      </w:r>
      <w:r w:rsidR="00AF0A88">
        <w:rPr>
          <w:bCs/>
          <w:sz w:val="22"/>
          <w:szCs w:val="22"/>
        </w:rPr>
        <w:t xml:space="preserve">proto </w:t>
      </w:r>
      <w:r>
        <w:rPr>
          <w:bCs/>
          <w:sz w:val="22"/>
          <w:szCs w:val="22"/>
        </w:rPr>
        <w:t>v</w:t>
      </w:r>
      <w:r w:rsidR="00AF0A88">
        <w:rPr>
          <w:bCs/>
          <w:sz w:val="22"/>
          <w:szCs w:val="22"/>
        </w:rPr>
        <w:t> </w:t>
      </w:r>
      <w:r>
        <w:rPr>
          <w:bCs/>
          <w:sz w:val="22"/>
          <w:szCs w:val="22"/>
        </w:rPr>
        <w:t>mezinárodní</w:t>
      </w:r>
      <w:r w:rsidR="00AF0A88">
        <w:rPr>
          <w:bCs/>
          <w:sz w:val="22"/>
          <w:szCs w:val="22"/>
        </w:rPr>
        <w:t xml:space="preserve"> evaluaci </w:t>
      </w:r>
      <w:r>
        <w:rPr>
          <w:bCs/>
          <w:sz w:val="22"/>
          <w:szCs w:val="22"/>
        </w:rPr>
        <w:t xml:space="preserve">předmětem tzv. </w:t>
      </w:r>
      <w:r w:rsidRPr="00590D32">
        <w:rPr>
          <w:b/>
          <w:bCs/>
          <w:sz w:val="22"/>
          <w:szCs w:val="22"/>
        </w:rPr>
        <w:t>interim hodnocení</w:t>
      </w:r>
      <w:r>
        <w:rPr>
          <w:bCs/>
          <w:sz w:val="22"/>
          <w:szCs w:val="22"/>
        </w:rPr>
        <w:t>.</w:t>
      </w:r>
      <w:r w:rsidR="007914F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Nad rámec </w:t>
      </w:r>
      <w:r w:rsidR="007914F8">
        <w:rPr>
          <w:bCs/>
          <w:sz w:val="22"/>
          <w:szCs w:val="22"/>
        </w:rPr>
        <w:t>těchto</w:t>
      </w:r>
      <w:r>
        <w:rPr>
          <w:bCs/>
          <w:sz w:val="22"/>
          <w:szCs w:val="22"/>
        </w:rPr>
        <w:t xml:space="preserve"> </w:t>
      </w:r>
      <w:r w:rsidR="001230C9">
        <w:rPr>
          <w:bCs/>
          <w:sz w:val="22"/>
          <w:szCs w:val="22"/>
        </w:rPr>
        <w:t xml:space="preserve">projektů velkých výzkumných infrastruktur </w:t>
      </w:r>
      <w:r>
        <w:rPr>
          <w:bCs/>
          <w:sz w:val="22"/>
          <w:szCs w:val="22"/>
        </w:rPr>
        <w:t xml:space="preserve">byly </w:t>
      </w:r>
      <w:r w:rsidR="001230C9">
        <w:rPr>
          <w:bCs/>
          <w:sz w:val="22"/>
          <w:szCs w:val="22"/>
        </w:rPr>
        <w:t xml:space="preserve">pak </w:t>
      </w:r>
      <w:r>
        <w:rPr>
          <w:bCs/>
          <w:sz w:val="22"/>
          <w:szCs w:val="22"/>
        </w:rPr>
        <w:t>v rámci mezinárodní</w:t>
      </w:r>
      <w:r w:rsidR="00AF0A88">
        <w:rPr>
          <w:bCs/>
          <w:sz w:val="22"/>
          <w:szCs w:val="22"/>
        </w:rPr>
        <w:t>ho</w:t>
      </w:r>
      <w:r>
        <w:rPr>
          <w:bCs/>
          <w:sz w:val="22"/>
          <w:szCs w:val="22"/>
        </w:rPr>
        <w:t xml:space="preserve"> hodnocení posuzovány</w:t>
      </w:r>
      <w:r w:rsidR="001230C9">
        <w:rPr>
          <w:bCs/>
          <w:sz w:val="22"/>
          <w:szCs w:val="22"/>
        </w:rPr>
        <w:t xml:space="preserve"> i</w:t>
      </w:r>
      <w:r>
        <w:rPr>
          <w:bCs/>
          <w:sz w:val="22"/>
          <w:szCs w:val="22"/>
        </w:rPr>
        <w:t xml:space="preserve"> nové návrhy projektů, </w:t>
      </w:r>
      <w:r w:rsidR="007914F8">
        <w:rPr>
          <w:bCs/>
          <w:sz w:val="22"/>
          <w:szCs w:val="22"/>
        </w:rPr>
        <w:t xml:space="preserve">které </w:t>
      </w:r>
      <w:r>
        <w:rPr>
          <w:bCs/>
          <w:sz w:val="22"/>
          <w:szCs w:val="22"/>
        </w:rPr>
        <w:t xml:space="preserve">byly předmětem tzv. </w:t>
      </w:r>
      <w:r w:rsidRPr="00590D32">
        <w:rPr>
          <w:b/>
          <w:bCs/>
          <w:sz w:val="22"/>
          <w:szCs w:val="22"/>
        </w:rPr>
        <w:t xml:space="preserve">ex-ante </w:t>
      </w:r>
      <w:r>
        <w:rPr>
          <w:b/>
          <w:bCs/>
          <w:sz w:val="22"/>
          <w:szCs w:val="22"/>
        </w:rPr>
        <w:t>evaluace</w:t>
      </w:r>
      <w:r>
        <w:rPr>
          <w:bCs/>
          <w:sz w:val="22"/>
          <w:szCs w:val="22"/>
        </w:rPr>
        <w:t>.</w:t>
      </w:r>
    </w:p>
    <w:p w14:paraId="73BBE769" w14:textId="0AA9A45A" w:rsidR="00F95A7F" w:rsidRDefault="00F95A7F" w:rsidP="00C86744">
      <w:pPr>
        <w:pStyle w:val="Default"/>
        <w:jc w:val="both"/>
        <w:rPr>
          <w:bCs/>
          <w:sz w:val="22"/>
          <w:szCs w:val="22"/>
        </w:rPr>
      </w:pPr>
    </w:p>
    <w:p w14:paraId="2912D841" w14:textId="6A1CB8C0" w:rsidR="00F95A7F" w:rsidRDefault="00F95A7F" w:rsidP="00C86744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Nové n</w:t>
      </w:r>
      <w:r w:rsidRPr="00F95A7F">
        <w:rPr>
          <w:bCs/>
          <w:sz w:val="22"/>
          <w:szCs w:val="22"/>
        </w:rPr>
        <w:t xml:space="preserve">ávrhy projektů </w:t>
      </w:r>
      <w:r>
        <w:rPr>
          <w:bCs/>
          <w:sz w:val="22"/>
          <w:szCs w:val="22"/>
        </w:rPr>
        <w:t xml:space="preserve">velkých výzkumných infrastruktur </w:t>
      </w:r>
      <w:r w:rsidR="00810BF8">
        <w:rPr>
          <w:bCs/>
          <w:sz w:val="22"/>
          <w:szCs w:val="22"/>
        </w:rPr>
        <w:t>m</w:t>
      </w:r>
      <w:r w:rsidR="00AA3E38">
        <w:rPr>
          <w:bCs/>
          <w:sz w:val="22"/>
          <w:szCs w:val="22"/>
        </w:rPr>
        <w:t>ěly</w:t>
      </w:r>
      <w:r w:rsidRPr="00F95A7F">
        <w:rPr>
          <w:bCs/>
          <w:sz w:val="22"/>
          <w:szCs w:val="22"/>
        </w:rPr>
        <w:t xml:space="preserve"> zaplnit </w:t>
      </w:r>
      <w:r w:rsidRPr="00373B17">
        <w:rPr>
          <w:b/>
          <w:sz w:val="22"/>
          <w:szCs w:val="22"/>
        </w:rPr>
        <w:t>mezery v krajině velkých výzkumných infrastruktur</w:t>
      </w:r>
      <w:r w:rsidR="00373B17" w:rsidRPr="00373B17">
        <w:rPr>
          <w:b/>
          <w:sz w:val="22"/>
          <w:szCs w:val="22"/>
        </w:rPr>
        <w:t xml:space="preserve"> ČR</w:t>
      </w:r>
      <w:r w:rsidR="00373B17">
        <w:rPr>
          <w:bCs/>
          <w:sz w:val="22"/>
          <w:szCs w:val="22"/>
        </w:rPr>
        <w:t xml:space="preserve"> </w:t>
      </w:r>
      <w:r w:rsidRPr="00F95A7F">
        <w:rPr>
          <w:bCs/>
          <w:sz w:val="22"/>
          <w:szCs w:val="22"/>
        </w:rPr>
        <w:t>(</w:t>
      </w:r>
      <w:r w:rsidR="00373B17">
        <w:rPr>
          <w:bCs/>
          <w:sz w:val="22"/>
          <w:szCs w:val="22"/>
        </w:rPr>
        <w:t xml:space="preserve">tzn., dosud </w:t>
      </w:r>
      <w:r w:rsidRPr="00F95A7F">
        <w:rPr>
          <w:bCs/>
          <w:sz w:val="22"/>
          <w:szCs w:val="22"/>
        </w:rPr>
        <w:t>chybějící výzkumné kapacity</w:t>
      </w:r>
      <w:r w:rsidR="00373B17">
        <w:rPr>
          <w:bCs/>
          <w:sz w:val="22"/>
          <w:szCs w:val="22"/>
        </w:rPr>
        <w:t xml:space="preserve"> a související služby poskytované v režimu otevřeného přístupu</w:t>
      </w:r>
      <w:r w:rsidRPr="00F95A7F">
        <w:rPr>
          <w:bCs/>
          <w:sz w:val="22"/>
          <w:szCs w:val="22"/>
        </w:rPr>
        <w:t>)</w:t>
      </w:r>
      <w:r w:rsidR="00373B17">
        <w:rPr>
          <w:bCs/>
          <w:sz w:val="22"/>
          <w:szCs w:val="22"/>
        </w:rPr>
        <w:t>,</w:t>
      </w:r>
      <w:r w:rsidRPr="00F95A7F">
        <w:rPr>
          <w:bCs/>
          <w:sz w:val="22"/>
          <w:szCs w:val="22"/>
        </w:rPr>
        <w:t xml:space="preserve"> identifikované</w:t>
      </w:r>
      <w:r w:rsidR="00373B17">
        <w:rPr>
          <w:bCs/>
          <w:sz w:val="22"/>
          <w:szCs w:val="22"/>
        </w:rPr>
        <w:t xml:space="preserve"> </w:t>
      </w:r>
      <w:r w:rsidRPr="00373B17">
        <w:rPr>
          <w:bCs/>
          <w:sz w:val="22"/>
          <w:szCs w:val="22"/>
        </w:rPr>
        <w:t>tzv. sektorovými platformami</w:t>
      </w:r>
      <w:r w:rsidRPr="00F95A7F">
        <w:rPr>
          <w:bCs/>
          <w:sz w:val="22"/>
          <w:szCs w:val="22"/>
        </w:rPr>
        <w:t xml:space="preserve"> </w:t>
      </w:r>
      <w:r w:rsidR="00373B17">
        <w:rPr>
          <w:bCs/>
          <w:sz w:val="22"/>
          <w:szCs w:val="22"/>
        </w:rPr>
        <w:t xml:space="preserve">(tzn., </w:t>
      </w:r>
      <w:r w:rsidR="00373B17" w:rsidRPr="00F95A7F">
        <w:rPr>
          <w:bCs/>
          <w:sz w:val="22"/>
          <w:szCs w:val="22"/>
        </w:rPr>
        <w:t>meziresortními pracovními skupinami</w:t>
      </w:r>
      <w:r w:rsidR="00373B17">
        <w:rPr>
          <w:bCs/>
          <w:sz w:val="22"/>
          <w:szCs w:val="22"/>
        </w:rPr>
        <w:t>),</w:t>
      </w:r>
      <w:r w:rsidR="00373B17" w:rsidRPr="00F95A7F">
        <w:rPr>
          <w:bCs/>
          <w:sz w:val="22"/>
          <w:szCs w:val="22"/>
        </w:rPr>
        <w:t xml:space="preserve"> </w:t>
      </w:r>
      <w:r w:rsidRPr="00F95A7F">
        <w:rPr>
          <w:bCs/>
          <w:sz w:val="22"/>
          <w:szCs w:val="22"/>
        </w:rPr>
        <w:t xml:space="preserve">jejichž činnost </w:t>
      </w:r>
      <w:r>
        <w:rPr>
          <w:bCs/>
          <w:sz w:val="22"/>
          <w:szCs w:val="22"/>
        </w:rPr>
        <w:t xml:space="preserve">MŠMT </w:t>
      </w:r>
      <w:r w:rsidRPr="00F95A7F">
        <w:rPr>
          <w:bCs/>
          <w:sz w:val="22"/>
          <w:szCs w:val="22"/>
        </w:rPr>
        <w:t xml:space="preserve">organizovalo </w:t>
      </w:r>
      <w:r>
        <w:rPr>
          <w:bCs/>
          <w:sz w:val="22"/>
          <w:szCs w:val="22"/>
        </w:rPr>
        <w:t>v</w:t>
      </w:r>
      <w:r w:rsidRPr="00F95A7F">
        <w:rPr>
          <w:bCs/>
          <w:sz w:val="22"/>
          <w:szCs w:val="22"/>
        </w:rPr>
        <w:t xml:space="preserve"> let</w:t>
      </w:r>
      <w:r>
        <w:rPr>
          <w:bCs/>
          <w:sz w:val="22"/>
          <w:szCs w:val="22"/>
        </w:rPr>
        <w:t>ech</w:t>
      </w:r>
      <w:r w:rsidRPr="00F95A7F">
        <w:rPr>
          <w:bCs/>
          <w:sz w:val="22"/>
          <w:szCs w:val="22"/>
        </w:rPr>
        <w:t xml:space="preserve"> 2019</w:t>
      </w:r>
      <w:r>
        <w:rPr>
          <w:bCs/>
          <w:sz w:val="22"/>
          <w:szCs w:val="22"/>
        </w:rPr>
        <w:t>–</w:t>
      </w:r>
      <w:r w:rsidRPr="00F95A7F">
        <w:rPr>
          <w:bCs/>
          <w:sz w:val="22"/>
          <w:szCs w:val="22"/>
        </w:rPr>
        <w:t xml:space="preserve">2020 </w:t>
      </w:r>
      <w:r w:rsidR="00373B17">
        <w:rPr>
          <w:bCs/>
          <w:sz w:val="22"/>
          <w:szCs w:val="22"/>
        </w:rPr>
        <w:t>s cílem</w:t>
      </w:r>
      <w:r w:rsidRPr="00F95A7F">
        <w:rPr>
          <w:bCs/>
          <w:sz w:val="22"/>
          <w:szCs w:val="22"/>
        </w:rPr>
        <w:t xml:space="preserve"> doplnit politiku velkých výzkumných infrastruktur o </w:t>
      </w:r>
      <w:r>
        <w:rPr>
          <w:bCs/>
          <w:sz w:val="22"/>
          <w:szCs w:val="22"/>
        </w:rPr>
        <w:t xml:space="preserve">tzv. </w:t>
      </w:r>
      <w:r w:rsidRPr="00F95A7F">
        <w:rPr>
          <w:bCs/>
          <w:sz w:val="22"/>
          <w:szCs w:val="22"/>
        </w:rPr>
        <w:t>top-</w:t>
      </w:r>
      <w:proofErr w:type="spellStart"/>
      <w:r w:rsidRPr="00F95A7F">
        <w:rPr>
          <w:bCs/>
          <w:sz w:val="22"/>
          <w:szCs w:val="22"/>
        </w:rPr>
        <w:t>down</w:t>
      </w:r>
      <w:proofErr w:type="spellEnd"/>
      <w:r w:rsidRPr="00F95A7F">
        <w:rPr>
          <w:bCs/>
          <w:sz w:val="22"/>
          <w:szCs w:val="22"/>
        </w:rPr>
        <w:t xml:space="preserve"> přístup a umožnit </w:t>
      </w:r>
      <w:r w:rsidR="00373B17">
        <w:rPr>
          <w:bCs/>
          <w:sz w:val="22"/>
          <w:szCs w:val="22"/>
        </w:rPr>
        <w:t xml:space="preserve">tak </w:t>
      </w:r>
      <w:r w:rsidRPr="00F95A7F">
        <w:rPr>
          <w:bCs/>
          <w:sz w:val="22"/>
          <w:szCs w:val="22"/>
        </w:rPr>
        <w:t>relevantním re</w:t>
      </w:r>
      <w:r>
        <w:rPr>
          <w:bCs/>
          <w:sz w:val="22"/>
          <w:szCs w:val="22"/>
        </w:rPr>
        <w:t>s</w:t>
      </w:r>
      <w:r w:rsidRPr="00F95A7F">
        <w:rPr>
          <w:bCs/>
          <w:sz w:val="22"/>
          <w:szCs w:val="22"/>
        </w:rPr>
        <w:t xml:space="preserve">ortům </w:t>
      </w:r>
      <w:r w:rsidR="00373B17">
        <w:rPr>
          <w:bCs/>
          <w:sz w:val="22"/>
          <w:szCs w:val="22"/>
        </w:rPr>
        <w:t>reflektovat</w:t>
      </w:r>
      <w:r w:rsidRPr="00F95A7F">
        <w:rPr>
          <w:bCs/>
          <w:sz w:val="22"/>
          <w:szCs w:val="22"/>
        </w:rPr>
        <w:t xml:space="preserve"> </w:t>
      </w:r>
      <w:r w:rsidR="00373B17">
        <w:rPr>
          <w:bCs/>
          <w:sz w:val="22"/>
          <w:szCs w:val="22"/>
        </w:rPr>
        <w:t xml:space="preserve">jejich </w:t>
      </w:r>
      <w:r w:rsidRPr="00F95A7F">
        <w:rPr>
          <w:bCs/>
          <w:sz w:val="22"/>
          <w:szCs w:val="22"/>
        </w:rPr>
        <w:t>priority</w:t>
      </w:r>
      <w:r w:rsidR="00B04AE7">
        <w:rPr>
          <w:bCs/>
          <w:sz w:val="22"/>
          <w:szCs w:val="22"/>
        </w:rPr>
        <w:t>, resp. potřeby</w:t>
      </w:r>
      <w:r w:rsidRPr="00F95A7F">
        <w:rPr>
          <w:bCs/>
          <w:sz w:val="22"/>
          <w:szCs w:val="22"/>
        </w:rPr>
        <w:t xml:space="preserve"> do agendy velkých výzkumných infrastruktur.</w:t>
      </w:r>
    </w:p>
    <w:p w14:paraId="52B2369C" w14:textId="19E5D524" w:rsidR="00810BF8" w:rsidRDefault="00810BF8" w:rsidP="00C86744">
      <w:pPr>
        <w:pStyle w:val="Default"/>
        <w:jc w:val="both"/>
        <w:rPr>
          <w:bCs/>
          <w:sz w:val="22"/>
          <w:szCs w:val="22"/>
        </w:rPr>
      </w:pPr>
    </w:p>
    <w:p w14:paraId="212E9115" w14:textId="1280A5A7" w:rsidR="00810BF8" w:rsidRDefault="00810BF8" w:rsidP="00C86744">
      <w:pPr>
        <w:pStyle w:val="Default"/>
        <w:jc w:val="both"/>
        <w:rPr>
          <w:bCs/>
          <w:sz w:val="22"/>
          <w:szCs w:val="22"/>
        </w:rPr>
      </w:pPr>
    </w:p>
    <w:p w14:paraId="685F020F" w14:textId="42023AA1" w:rsidR="00AF0A88" w:rsidRPr="00EB7026" w:rsidRDefault="00AF0A88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Metodický rámec</w:t>
      </w:r>
    </w:p>
    <w:p w14:paraId="7F8E5842" w14:textId="77777777" w:rsidR="008D1501" w:rsidRDefault="008D1501" w:rsidP="008D1501">
      <w:pPr>
        <w:pStyle w:val="Default"/>
        <w:jc w:val="both"/>
        <w:rPr>
          <w:rFonts w:eastAsia="Calibri"/>
          <w:sz w:val="22"/>
        </w:rPr>
      </w:pPr>
    </w:p>
    <w:p w14:paraId="0B4F6179" w14:textId="77777777" w:rsidR="00AA3E38" w:rsidRDefault="008D1501" w:rsidP="008D1501">
      <w:pPr>
        <w:pStyle w:val="Default"/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 xml:space="preserve">Metodika mezinárodního hodnocení velkých výzkumných infrastruktur byla připravena </w:t>
      </w:r>
      <w:r w:rsidRPr="0093496A">
        <w:rPr>
          <w:rFonts w:eastAsia="Calibri"/>
          <w:sz w:val="22"/>
        </w:rPr>
        <w:t>MŠMT</w:t>
      </w:r>
      <w:r>
        <w:rPr>
          <w:rFonts w:eastAsia="Calibri"/>
          <w:sz w:val="22"/>
        </w:rPr>
        <w:t xml:space="preserve"> a projednána na platformě </w:t>
      </w:r>
      <w:r w:rsidRPr="0093496A">
        <w:rPr>
          <w:rFonts w:eastAsia="Calibri"/>
          <w:b/>
          <w:sz w:val="22"/>
        </w:rPr>
        <w:t>Rady pro velké výzkumné infrastruktury</w:t>
      </w:r>
      <w:r>
        <w:rPr>
          <w:rFonts w:eastAsia="Calibri"/>
          <w:sz w:val="22"/>
        </w:rPr>
        <w:t xml:space="preserve">, působící jako odborný poradní orgán </w:t>
      </w:r>
      <w:r w:rsidR="00E42B33">
        <w:rPr>
          <w:rFonts w:eastAsia="Calibri"/>
          <w:sz w:val="22"/>
        </w:rPr>
        <w:t>MŠMT</w:t>
      </w:r>
      <w:r>
        <w:rPr>
          <w:rFonts w:eastAsia="Calibri"/>
          <w:sz w:val="22"/>
        </w:rPr>
        <w:t xml:space="preserve"> pro výkon agendy. </w:t>
      </w:r>
    </w:p>
    <w:p w14:paraId="6215F28F" w14:textId="77777777" w:rsidR="00AA3E38" w:rsidRDefault="00AA3E38" w:rsidP="008D1501">
      <w:pPr>
        <w:pStyle w:val="Default"/>
        <w:jc w:val="both"/>
        <w:rPr>
          <w:rFonts w:eastAsia="Calibri"/>
          <w:sz w:val="22"/>
        </w:rPr>
      </w:pPr>
    </w:p>
    <w:p w14:paraId="12DCD4EA" w14:textId="4A2DDD22" w:rsidR="008D1501" w:rsidRDefault="00E42B33" w:rsidP="008D1501">
      <w:pPr>
        <w:pStyle w:val="Default"/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M</w:t>
      </w:r>
      <w:r w:rsidR="008D1501">
        <w:rPr>
          <w:rFonts w:eastAsia="Calibri"/>
          <w:sz w:val="22"/>
        </w:rPr>
        <w:t xml:space="preserve">etodický rámec </w:t>
      </w:r>
      <w:r>
        <w:rPr>
          <w:rFonts w:eastAsia="Calibri"/>
          <w:sz w:val="22"/>
        </w:rPr>
        <w:t xml:space="preserve">byl </w:t>
      </w:r>
      <w:r w:rsidR="008D1501">
        <w:rPr>
          <w:rFonts w:eastAsia="Calibri"/>
          <w:sz w:val="22"/>
        </w:rPr>
        <w:t xml:space="preserve">postoupen i </w:t>
      </w:r>
      <w:r w:rsidR="008D1501" w:rsidRPr="00713176">
        <w:rPr>
          <w:rFonts w:eastAsia="Calibri"/>
          <w:b/>
          <w:sz w:val="22"/>
        </w:rPr>
        <w:t>Radě pro výzkum, vývoj a inovace</w:t>
      </w:r>
      <w:r w:rsidR="008D1501">
        <w:rPr>
          <w:rFonts w:eastAsia="Calibri"/>
          <w:sz w:val="22"/>
        </w:rPr>
        <w:t xml:space="preserve"> (dále jen „RVVI“), jako poradnímu orgánu vlády ČR. RVVI k materiálu přijala stanovisko na </w:t>
      </w:r>
      <w:r>
        <w:rPr>
          <w:rFonts w:eastAsia="Calibri"/>
          <w:sz w:val="22"/>
        </w:rPr>
        <w:t xml:space="preserve">svém </w:t>
      </w:r>
      <w:r w:rsidR="008D1501">
        <w:rPr>
          <w:rFonts w:eastAsia="Calibri"/>
          <w:sz w:val="22"/>
        </w:rPr>
        <w:t>356. zasedání dne 30. dubna 2020</w:t>
      </w:r>
      <w:r>
        <w:rPr>
          <w:rFonts w:eastAsia="Calibri"/>
          <w:sz w:val="22"/>
        </w:rPr>
        <w:t>.</w:t>
      </w:r>
      <w:r w:rsidR="008D1501">
        <w:rPr>
          <w:rFonts w:eastAsia="Calibri"/>
          <w:sz w:val="22"/>
        </w:rPr>
        <w:t xml:space="preserve"> MŠMT </w:t>
      </w:r>
      <w:r>
        <w:rPr>
          <w:rFonts w:eastAsia="Calibri"/>
          <w:sz w:val="22"/>
        </w:rPr>
        <w:t xml:space="preserve">následně </w:t>
      </w:r>
      <w:r w:rsidR="008D1501">
        <w:rPr>
          <w:rFonts w:eastAsia="Calibri"/>
          <w:sz w:val="22"/>
        </w:rPr>
        <w:t xml:space="preserve">do metodického rámce zapracovalo připomínky uplatněné </w:t>
      </w:r>
      <w:r w:rsidR="00B04AE7">
        <w:rPr>
          <w:rFonts w:eastAsia="Calibri"/>
          <w:sz w:val="22"/>
        </w:rPr>
        <w:t xml:space="preserve">ze strany </w:t>
      </w:r>
      <w:r w:rsidR="008D1501">
        <w:rPr>
          <w:rFonts w:eastAsia="Calibri"/>
          <w:sz w:val="22"/>
        </w:rPr>
        <w:t>RVVI</w:t>
      </w:r>
      <w:r>
        <w:rPr>
          <w:rFonts w:eastAsia="Calibri"/>
          <w:sz w:val="22"/>
        </w:rPr>
        <w:t>, načež</w:t>
      </w:r>
      <w:r w:rsidR="008D1501">
        <w:rPr>
          <w:rFonts w:eastAsia="Calibri"/>
          <w:sz w:val="22"/>
        </w:rPr>
        <w:t xml:space="preserve"> RVVI metodický rámec doporučila k implementaci.</w:t>
      </w:r>
    </w:p>
    <w:p w14:paraId="176BC6E9" w14:textId="1CBA932A" w:rsidR="001230C9" w:rsidRDefault="001230C9" w:rsidP="008D1501">
      <w:pPr>
        <w:pStyle w:val="Default"/>
        <w:jc w:val="both"/>
        <w:rPr>
          <w:rFonts w:eastAsia="Calibri"/>
          <w:sz w:val="22"/>
        </w:rPr>
      </w:pPr>
    </w:p>
    <w:p w14:paraId="3CAC86C7" w14:textId="354DEC5A" w:rsidR="001230C9" w:rsidRDefault="001230C9" w:rsidP="008D1501">
      <w:pPr>
        <w:pStyle w:val="Default"/>
        <w:jc w:val="both"/>
        <w:rPr>
          <w:rFonts w:eastAsia="Calibri"/>
          <w:b/>
          <w:bCs/>
          <w:sz w:val="22"/>
        </w:rPr>
      </w:pPr>
      <w:r w:rsidRPr="001230C9">
        <w:rPr>
          <w:rFonts w:eastAsia="Calibri"/>
          <w:b/>
          <w:bCs/>
          <w:sz w:val="22"/>
        </w:rPr>
        <w:t xml:space="preserve">Metodika hodnocení velkých výzkumných infrastruktur používaná MŠMT v letech 2014, 2017 a 2021 vychází, </w:t>
      </w:r>
      <w:r w:rsidR="00DD12AC">
        <w:rPr>
          <w:rFonts w:eastAsia="Calibri"/>
          <w:b/>
          <w:bCs/>
          <w:sz w:val="22"/>
        </w:rPr>
        <w:t>resp.,</w:t>
      </w:r>
      <w:r w:rsidRPr="001230C9">
        <w:rPr>
          <w:rFonts w:eastAsia="Calibri"/>
          <w:b/>
          <w:bCs/>
          <w:sz w:val="22"/>
        </w:rPr>
        <w:t xml:space="preserve"> co do </w:t>
      </w:r>
      <w:r w:rsidR="002C1F67">
        <w:rPr>
          <w:rFonts w:eastAsia="Calibri"/>
          <w:b/>
          <w:bCs/>
          <w:sz w:val="22"/>
        </w:rPr>
        <w:t>užívaných</w:t>
      </w:r>
      <w:r w:rsidR="00DD12AC">
        <w:rPr>
          <w:rFonts w:eastAsia="Calibri"/>
          <w:b/>
          <w:bCs/>
          <w:sz w:val="22"/>
        </w:rPr>
        <w:t xml:space="preserve"> </w:t>
      </w:r>
      <w:r w:rsidRPr="001230C9">
        <w:rPr>
          <w:rFonts w:eastAsia="Calibri"/>
          <w:b/>
          <w:bCs/>
          <w:sz w:val="22"/>
        </w:rPr>
        <w:t>evaluačních kritérií</w:t>
      </w:r>
      <w:r w:rsidR="00DD12AC">
        <w:rPr>
          <w:rFonts w:eastAsia="Calibri"/>
          <w:b/>
          <w:bCs/>
          <w:sz w:val="22"/>
        </w:rPr>
        <w:t>,</w:t>
      </w:r>
      <w:r w:rsidRPr="001230C9">
        <w:rPr>
          <w:rFonts w:eastAsia="Calibri"/>
          <w:b/>
          <w:bCs/>
          <w:sz w:val="22"/>
        </w:rPr>
        <w:t xml:space="preserve"> reflektuje metodický rámec ESFRI </w:t>
      </w:r>
      <w:r w:rsidR="002C1F67">
        <w:rPr>
          <w:rFonts w:eastAsia="Calibri"/>
          <w:b/>
          <w:bCs/>
          <w:sz w:val="22"/>
        </w:rPr>
        <w:t>aplikovaný k</w:t>
      </w:r>
      <w:r w:rsidRPr="001230C9">
        <w:rPr>
          <w:rFonts w:eastAsia="Calibri"/>
          <w:b/>
          <w:bCs/>
          <w:sz w:val="22"/>
        </w:rPr>
        <w:t xml:space="preserve"> hodnocení evropských výzkumných infrastruktur. Odpovídá příkladům </w:t>
      </w:r>
      <w:r w:rsidR="005352F7">
        <w:rPr>
          <w:rFonts w:eastAsia="Calibri"/>
          <w:b/>
          <w:bCs/>
          <w:sz w:val="22"/>
        </w:rPr>
        <w:t xml:space="preserve">mezinárodní </w:t>
      </w:r>
      <w:r w:rsidRPr="001230C9">
        <w:rPr>
          <w:rFonts w:eastAsia="Calibri"/>
          <w:b/>
          <w:bCs/>
          <w:sz w:val="22"/>
        </w:rPr>
        <w:t xml:space="preserve">dobré praxe a hodnotící proces samotný je vysoce </w:t>
      </w:r>
      <w:r w:rsidR="004C28FA">
        <w:rPr>
          <w:rFonts w:eastAsia="Calibri"/>
          <w:b/>
          <w:bCs/>
          <w:sz w:val="22"/>
        </w:rPr>
        <w:t xml:space="preserve">oceňovaný a </w:t>
      </w:r>
      <w:r w:rsidRPr="001230C9">
        <w:rPr>
          <w:rFonts w:eastAsia="Calibri"/>
          <w:b/>
          <w:bCs/>
          <w:sz w:val="22"/>
        </w:rPr>
        <w:t>respektovaný ze strany jeho účastníků</w:t>
      </w:r>
      <w:r w:rsidR="004C28FA">
        <w:rPr>
          <w:rFonts w:eastAsia="Calibri"/>
          <w:b/>
          <w:bCs/>
          <w:sz w:val="22"/>
        </w:rPr>
        <w:t>, hodnotitelů</w:t>
      </w:r>
      <w:r w:rsidRPr="001230C9">
        <w:rPr>
          <w:rFonts w:eastAsia="Calibri"/>
          <w:b/>
          <w:bCs/>
          <w:sz w:val="22"/>
        </w:rPr>
        <w:t xml:space="preserve"> i mezinárodních partnerů.</w:t>
      </w:r>
    </w:p>
    <w:p w14:paraId="155F99FA" w14:textId="77777777" w:rsidR="00A91D74" w:rsidRPr="001230C9" w:rsidRDefault="00A91D74" w:rsidP="008D1501">
      <w:pPr>
        <w:pStyle w:val="Default"/>
        <w:jc w:val="both"/>
        <w:rPr>
          <w:rFonts w:eastAsia="Calibri"/>
          <w:b/>
          <w:bCs/>
          <w:sz w:val="22"/>
        </w:rPr>
      </w:pPr>
    </w:p>
    <w:p w14:paraId="13B300FA" w14:textId="114CED15" w:rsidR="00FB7894" w:rsidRDefault="008D1501" w:rsidP="00106780">
      <w:pPr>
        <w:spacing w:after="0" w:line="240" w:lineRule="auto"/>
        <w:jc w:val="both"/>
        <w:rPr>
          <w:rFonts w:ascii="Arial" w:eastAsia="Calibri" w:hAnsi="Arial" w:cs="Arial"/>
        </w:rPr>
      </w:pPr>
      <w:r w:rsidRPr="008D1501">
        <w:rPr>
          <w:rFonts w:ascii="Arial" w:eastAsia="Calibri" w:hAnsi="Arial" w:cs="Arial"/>
        </w:rPr>
        <w:t xml:space="preserve">Co </w:t>
      </w:r>
      <w:r w:rsidR="00FB7894">
        <w:rPr>
          <w:rFonts w:ascii="Arial" w:eastAsia="Calibri" w:hAnsi="Arial" w:cs="Arial"/>
        </w:rPr>
        <w:t>se týče</w:t>
      </w:r>
      <w:r w:rsidRPr="008D1501">
        <w:rPr>
          <w:rFonts w:ascii="Arial" w:eastAsia="Calibri" w:hAnsi="Arial" w:cs="Arial"/>
        </w:rPr>
        <w:t xml:space="preserve"> </w:t>
      </w:r>
      <w:r w:rsidRPr="00660EDD">
        <w:rPr>
          <w:rFonts w:ascii="Arial" w:eastAsia="Calibri" w:hAnsi="Arial" w:cs="Arial"/>
          <w:b/>
          <w:bCs/>
        </w:rPr>
        <w:t>metodického přístupu</w:t>
      </w:r>
      <w:r w:rsidRPr="008D1501">
        <w:rPr>
          <w:rFonts w:ascii="Arial" w:eastAsia="Calibri" w:hAnsi="Arial" w:cs="Arial"/>
        </w:rPr>
        <w:t xml:space="preserve">, evaluační proces </w:t>
      </w:r>
      <w:r w:rsidR="00FB7894">
        <w:rPr>
          <w:rFonts w:ascii="Arial" w:eastAsia="Calibri" w:hAnsi="Arial" w:cs="Arial"/>
        </w:rPr>
        <w:t>využív</w:t>
      </w:r>
      <w:r w:rsidR="002C1F67">
        <w:rPr>
          <w:rFonts w:ascii="Arial" w:eastAsia="Calibri" w:hAnsi="Arial" w:cs="Arial"/>
        </w:rPr>
        <w:t>á</w:t>
      </w:r>
      <w:r w:rsidRPr="008D1501">
        <w:rPr>
          <w:rFonts w:ascii="Arial" w:eastAsia="Calibri" w:hAnsi="Arial" w:cs="Arial"/>
        </w:rPr>
        <w:t xml:space="preserve"> nástroje </w:t>
      </w:r>
      <w:r w:rsidRPr="00FB7894">
        <w:rPr>
          <w:rFonts w:ascii="Arial" w:eastAsia="Calibri" w:hAnsi="Arial" w:cs="Arial"/>
          <w:bCs/>
        </w:rPr>
        <w:t>panelového hodnocení s</w:t>
      </w:r>
      <w:r w:rsidR="00FB7894">
        <w:rPr>
          <w:rFonts w:ascii="Arial" w:eastAsia="Calibri" w:hAnsi="Arial" w:cs="Arial"/>
          <w:bCs/>
        </w:rPr>
        <w:t xml:space="preserve"> nástroji</w:t>
      </w:r>
      <w:r w:rsidRPr="00FB7894">
        <w:rPr>
          <w:rFonts w:ascii="Arial" w:eastAsia="Calibri" w:hAnsi="Arial" w:cs="Arial"/>
          <w:bCs/>
        </w:rPr>
        <w:t> hodnocení formou vzdálené recenze</w:t>
      </w:r>
      <w:r w:rsidRPr="008D1501">
        <w:rPr>
          <w:rFonts w:ascii="Arial" w:eastAsia="Calibri" w:hAnsi="Arial" w:cs="Arial"/>
        </w:rPr>
        <w:t xml:space="preserve">. </w:t>
      </w:r>
      <w:r w:rsidR="00FB7894">
        <w:rPr>
          <w:rFonts w:ascii="Arial" w:eastAsia="Calibri" w:hAnsi="Arial" w:cs="Arial"/>
        </w:rPr>
        <w:t>MŠMT b</w:t>
      </w:r>
      <w:r w:rsidRPr="008D1501">
        <w:rPr>
          <w:rFonts w:ascii="Arial" w:eastAsia="Calibri" w:hAnsi="Arial" w:cs="Arial"/>
        </w:rPr>
        <w:t xml:space="preserve">yla ustavena </w:t>
      </w:r>
      <w:r w:rsidRPr="00FB7894">
        <w:rPr>
          <w:rFonts w:ascii="Arial" w:eastAsia="Calibri" w:hAnsi="Arial" w:cs="Arial"/>
          <w:b/>
          <w:bCs/>
        </w:rPr>
        <w:t>mezinárodní hodnotící komise</w:t>
      </w:r>
      <w:r w:rsidR="00660EDD">
        <w:rPr>
          <w:rFonts w:ascii="Arial" w:eastAsia="Calibri" w:hAnsi="Arial" w:cs="Arial"/>
        </w:rPr>
        <w:t>,</w:t>
      </w:r>
      <w:r w:rsidRPr="008D1501">
        <w:rPr>
          <w:rFonts w:ascii="Arial" w:eastAsia="Calibri" w:hAnsi="Arial" w:cs="Arial"/>
        </w:rPr>
        <w:t xml:space="preserve"> čítající </w:t>
      </w:r>
      <w:r w:rsidRPr="00FB7894">
        <w:rPr>
          <w:rFonts w:ascii="Arial" w:eastAsia="Calibri" w:hAnsi="Arial" w:cs="Arial"/>
          <w:b/>
          <w:bCs/>
        </w:rPr>
        <w:t>6 vědně-oborových panelů</w:t>
      </w:r>
      <w:r w:rsidRPr="008D1501">
        <w:rPr>
          <w:rFonts w:ascii="Arial" w:eastAsia="Calibri" w:hAnsi="Arial" w:cs="Arial"/>
        </w:rPr>
        <w:t xml:space="preserve"> zaměřených na </w:t>
      </w:r>
      <w:r w:rsidR="00E42B33">
        <w:rPr>
          <w:rFonts w:ascii="Arial" w:eastAsia="Calibri" w:hAnsi="Arial" w:cs="Arial"/>
        </w:rPr>
        <w:t>výzkumné domény definované ESFRI, t</w:t>
      </w:r>
      <w:r w:rsidR="00660EDD">
        <w:rPr>
          <w:rFonts w:ascii="Arial" w:eastAsia="Calibri" w:hAnsi="Arial" w:cs="Arial"/>
        </w:rPr>
        <w:t>zn</w:t>
      </w:r>
      <w:r w:rsidR="00FB7894">
        <w:rPr>
          <w:rFonts w:ascii="Arial" w:eastAsia="Calibri" w:hAnsi="Arial" w:cs="Arial"/>
        </w:rPr>
        <w:t>.</w:t>
      </w:r>
      <w:r w:rsidR="00660EDD">
        <w:rPr>
          <w:rFonts w:ascii="Arial" w:eastAsia="Calibri" w:hAnsi="Arial" w:cs="Arial"/>
        </w:rPr>
        <w:t>,</w:t>
      </w:r>
      <w:r w:rsidR="00E42B33">
        <w:rPr>
          <w:rFonts w:ascii="Arial" w:eastAsia="Calibri" w:hAnsi="Arial" w:cs="Arial"/>
        </w:rPr>
        <w:t xml:space="preserve"> f</w:t>
      </w:r>
      <w:r w:rsidR="00E42B33" w:rsidRPr="00E42B33">
        <w:rPr>
          <w:rFonts w:ascii="Arial" w:eastAsia="Calibri" w:hAnsi="Arial" w:cs="Arial"/>
        </w:rPr>
        <w:t>yzikální vědy a inženýrství</w:t>
      </w:r>
      <w:r w:rsidR="00E42B33">
        <w:rPr>
          <w:rFonts w:ascii="Arial" w:eastAsia="Calibri" w:hAnsi="Arial" w:cs="Arial"/>
        </w:rPr>
        <w:t>, e</w:t>
      </w:r>
      <w:r w:rsidR="00E42B33" w:rsidRPr="00E42B33">
        <w:rPr>
          <w:rFonts w:ascii="Arial" w:eastAsia="Calibri" w:hAnsi="Arial" w:cs="Arial"/>
        </w:rPr>
        <w:t>nergetika</w:t>
      </w:r>
      <w:r w:rsidR="00E42B33">
        <w:rPr>
          <w:rFonts w:ascii="Arial" w:eastAsia="Calibri" w:hAnsi="Arial" w:cs="Arial"/>
        </w:rPr>
        <w:t>, e</w:t>
      </w:r>
      <w:r w:rsidR="00E42B33" w:rsidRPr="00E42B33">
        <w:rPr>
          <w:rFonts w:ascii="Arial" w:eastAsia="Calibri" w:hAnsi="Arial" w:cs="Arial"/>
        </w:rPr>
        <w:t>nvironmentální vědy</w:t>
      </w:r>
      <w:r w:rsidR="00E42B33">
        <w:rPr>
          <w:rFonts w:ascii="Arial" w:eastAsia="Calibri" w:hAnsi="Arial" w:cs="Arial"/>
        </w:rPr>
        <w:t>, z</w:t>
      </w:r>
      <w:r w:rsidR="00E42B33" w:rsidRPr="00E42B33">
        <w:rPr>
          <w:rFonts w:ascii="Arial" w:eastAsia="Calibri" w:hAnsi="Arial" w:cs="Arial"/>
        </w:rPr>
        <w:t xml:space="preserve">draví a potraviny (≈ </w:t>
      </w:r>
      <w:r w:rsidR="00E42B33">
        <w:rPr>
          <w:rFonts w:ascii="Arial" w:eastAsia="Calibri" w:hAnsi="Arial" w:cs="Arial"/>
        </w:rPr>
        <w:t>b</w:t>
      </w:r>
      <w:r w:rsidR="00E42B33" w:rsidRPr="00E42B33">
        <w:rPr>
          <w:rFonts w:ascii="Arial" w:eastAsia="Calibri" w:hAnsi="Arial" w:cs="Arial"/>
        </w:rPr>
        <w:t>iologické a lékařské vědy)</w:t>
      </w:r>
      <w:r w:rsidR="00E42B33">
        <w:rPr>
          <w:rFonts w:ascii="Arial" w:eastAsia="Calibri" w:hAnsi="Arial" w:cs="Arial"/>
        </w:rPr>
        <w:t>, s</w:t>
      </w:r>
      <w:r w:rsidR="00E42B33" w:rsidRPr="00E42B33">
        <w:rPr>
          <w:rFonts w:ascii="Arial" w:eastAsia="Calibri" w:hAnsi="Arial" w:cs="Arial"/>
        </w:rPr>
        <w:t xml:space="preserve">ociální a humanitní vědy (≈ </w:t>
      </w:r>
      <w:r w:rsidR="00E42B33">
        <w:rPr>
          <w:rFonts w:ascii="Arial" w:eastAsia="Calibri" w:hAnsi="Arial" w:cs="Arial"/>
        </w:rPr>
        <w:t>s</w:t>
      </w:r>
      <w:r w:rsidR="00E42B33" w:rsidRPr="00E42B33">
        <w:rPr>
          <w:rFonts w:ascii="Arial" w:eastAsia="Calibri" w:hAnsi="Arial" w:cs="Arial"/>
        </w:rPr>
        <w:t>ociální a kulturní inovace)</w:t>
      </w:r>
      <w:r w:rsidR="00FB7894">
        <w:rPr>
          <w:rFonts w:ascii="Arial" w:eastAsia="Calibri" w:hAnsi="Arial" w:cs="Arial"/>
        </w:rPr>
        <w:t xml:space="preserve"> a</w:t>
      </w:r>
      <w:r w:rsidR="00E42B33">
        <w:rPr>
          <w:rFonts w:ascii="Arial" w:eastAsia="Calibri" w:hAnsi="Arial" w:cs="Arial"/>
        </w:rPr>
        <w:t xml:space="preserve"> </w:t>
      </w:r>
      <w:r w:rsidR="00E42B33" w:rsidRPr="00E42B33">
        <w:rPr>
          <w:rFonts w:ascii="Arial" w:eastAsia="Calibri" w:hAnsi="Arial" w:cs="Arial"/>
        </w:rPr>
        <w:t>e-</w:t>
      </w:r>
      <w:r w:rsidR="00E42B33">
        <w:rPr>
          <w:rFonts w:ascii="Arial" w:eastAsia="Calibri" w:hAnsi="Arial" w:cs="Arial"/>
        </w:rPr>
        <w:t>i</w:t>
      </w:r>
      <w:r w:rsidR="00E42B33" w:rsidRPr="00E42B33">
        <w:rPr>
          <w:rFonts w:ascii="Arial" w:eastAsia="Calibri" w:hAnsi="Arial" w:cs="Arial"/>
        </w:rPr>
        <w:t xml:space="preserve">nfrastruktury (≈ </w:t>
      </w:r>
      <w:r w:rsidR="00E42B33">
        <w:rPr>
          <w:rFonts w:ascii="Arial" w:eastAsia="Calibri" w:hAnsi="Arial" w:cs="Arial"/>
        </w:rPr>
        <w:t>d</w:t>
      </w:r>
      <w:r w:rsidR="00E42B33" w:rsidRPr="00E42B33">
        <w:rPr>
          <w:rFonts w:ascii="Arial" w:eastAsia="Calibri" w:hAnsi="Arial" w:cs="Arial"/>
        </w:rPr>
        <w:t>atové, počítačové a digitální výzkumné infrastruktury).</w:t>
      </w:r>
      <w:r w:rsidR="00E42B33">
        <w:rPr>
          <w:rFonts w:ascii="Arial" w:eastAsia="Calibri" w:hAnsi="Arial" w:cs="Arial"/>
        </w:rPr>
        <w:t xml:space="preserve"> K</w:t>
      </w:r>
      <w:r w:rsidRPr="008D1501">
        <w:rPr>
          <w:rFonts w:ascii="Arial" w:eastAsia="Calibri" w:hAnsi="Arial" w:cs="Arial"/>
        </w:rPr>
        <w:t>aždý vědně-oborový panel čítal 5 členů (s výjimkou vědně-oborového panelu pro fyzikální věd</w:t>
      </w:r>
      <w:r w:rsidR="00660EDD">
        <w:rPr>
          <w:rFonts w:ascii="Arial" w:eastAsia="Calibri" w:hAnsi="Arial" w:cs="Arial"/>
        </w:rPr>
        <w:t>y</w:t>
      </w:r>
      <w:r w:rsidRPr="008D1501">
        <w:rPr>
          <w:rFonts w:ascii="Arial" w:eastAsia="Calibri" w:hAnsi="Arial" w:cs="Arial"/>
        </w:rPr>
        <w:t xml:space="preserve"> a inženýrství, který </w:t>
      </w:r>
      <w:r w:rsidR="00E42B33">
        <w:rPr>
          <w:rFonts w:ascii="Arial" w:eastAsia="Calibri" w:hAnsi="Arial" w:cs="Arial"/>
        </w:rPr>
        <w:t>byl</w:t>
      </w:r>
      <w:r w:rsidRPr="008D1501">
        <w:rPr>
          <w:rFonts w:ascii="Arial" w:eastAsia="Calibri" w:hAnsi="Arial" w:cs="Arial"/>
        </w:rPr>
        <w:t xml:space="preserve"> </w:t>
      </w:r>
      <w:r w:rsidR="00E42B33">
        <w:rPr>
          <w:rFonts w:ascii="Arial" w:eastAsia="Calibri" w:hAnsi="Arial" w:cs="Arial"/>
        </w:rPr>
        <w:t>sedmi</w:t>
      </w:r>
      <w:r w:rsidRPr="008D1501">
        <w:rPr>
          <w:rFonts w:ascii="Arial" w:eastAsia="Calibri" w:hAnsi="Arial" w:cs="Arial"/>
        </w:rPr>
        <w:t>člen</w:t>
      </w:r>
      <w:r w:rsidR="00E42B33">
        <w:rPr>
          <w:rFonts w:ascii="Arial" w:eastAsia="Calibri" w:hAnsi="Arial" w:cs="Arial"/>
        </w:rPr>
        <w:t>ný</w:t>
      </w:r>
      <w:r w:rsidRPr="008D1501">
        <w:rPr>
          <w:rFonts w:ascii="Arial" w:eastAsia="Calibri" w:hAnsi="Arial" w:cs="Arial"/>
        </w:rPr>
        <w:t xml:space="preserve">), </w:t>
      </w:r>
      <w:r w:rsidR="00660EDD">
        <w:rPr>
          <w:rFonts w:ascii="Arial" w:eastAsia="Calibri" w:hAnsi="Arial" w:cs="Arial"/>
        </w:rPr>
        <w:t>ze kterých</w:t>
      </w:r>
      <w:r w:rsidRPr="008D1501">
        <w:rPr>
          <w:rFonts w:ascii="Arial" w:eastAsia="Calibri" w:hAnsi="Arial" w:cs="Arial"/>
        </w:rPr>
        <w:t xml:space="preserve"> vždy jeden působil jako předseda. </w:t>
      </w:r>
      <w:r w:rsidR="00851EF7" w:rsidRPr="00851EF7">
        <w:rPr>
          <w:rFonts w:ascii="Arial" w:eastAsia="Calibri" w:hAnsi="Arial" w:cs="Arial"/>
        </w:rPr>
        <w:t xml:space="preserve">V čele mezinárodní hodnotící komise stál </w:t>
      </w:r>
      <w:r w:rsidR="00851EF7" w:rsidRPr="00851EF7">
        <w:rPr>
          <w:rFonts w:ascii="Arial" w:eastAsia="Calibri" w:hAnsi="Arial" w:cs="Arial"/>
          <w:b/>
          <w:bCs/>
        </w:rPr>
        <w:t>předseda</w:t>
      </w:r>
      <w:r w:rsidR="00851EF7" w:rsidRPr="00851EF7">
        <w:rPr>
          <w:rFonts w:ascii="Arial" w:eastAsia="Calibri" w:hAnsi="Arial" w:cs="Arial"/>
        </w:rPr>
        <w:t xml:space="preserve">, který dohlížel, zda </w:t>
      </w:r>
      <w:r w:rsidRPr="008D1501">
        <w:rPr>
          <w:rFonts w:ascii="Arial" w:eastAsia="Calibri" w:hAnsi="Arial" w:cs="Arial"/>
        </w:rPr>
        <w:t>jednotlivé vědně-oborové panely aplikují hodnotící kritéria se stejnou relevancí a výstupy evaluačního procesu jsou vzájemně srovnatelné napříč všemi vědně-oborovými panely</w:t>
      </w:r>
      <w:r w:rsidR="0028611C">
        <w:rPr>
          <w:rFonts w:ascii="Arial" w:eastAsia="Calibri" w:hAnsi="Arial" w:cs="Arial"/>
        </w:rPr>
        <w:t>.</w:t>
      </w:r>
      <w:r w:rsidR="004C28FA">
        <w:rPr>
          <w:rFonts w:ascii="Arial" w:eastAsia="Calibri" w:hAnsi="Arial" w:cs="Arial"/>
        </w:rPr>
        <w:t xml:space="preserve"> Za tímto účelem probíhala harmonizační jednání.</w:t>
      </w:r>
    </w:p>
    <w:p w14:paraId="0B8BC922" w14:textId="77777777" w:rsidR="00FB7894" w:rsidRDefault="00FB7894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6D134004" w14:textId="5DE7B185" w:rsidR="00FB7894" w:rsidRDefault="008D1501" w:rsidP="00106780">
      <w:pPr>
        <w:spacing w:after="0" w:line="240" w:lineRule="auto"/>
        <w:jc w:val="both"/>
        <w:rPr>
          <w:rFonts w:ascii="Arial" w:eastAsia="Calibri" w:hAnsi="Arial" w:cs="Arial"/>
        </w:rPr>
      </w:pPr>
      <w:r w:rsidRPr="008D1501">
        <w:rPr>
          <w:rFonts w:ascii="Arial" w:eastAsia="Calibri" w:hAnsi="Arial" w:cs="Arial"/>
        </w:rPr>
        <w:t xml:space="preserve">Jako nezávislé odborné podklady </w:t>
      </w:r>
      <w:r w:rsidR="00FB7894">
        <w:rPr>
          <w:rFonts w:ascii="Arial" w:eastAsia="Calibri" w:hAnsi="Arial" w:cs="Arial"/>
        </w:rPr>
        <w:t xml:space="preserve">pro své úvahy </w:t>
      </w:r>
      <w:r w:rsidRPr="008D1501">
        <w:rPr>
          <w:rFonts w:ascii="Arial" w:eastAsia="Calibri" w:hAnsi="Arial" w:cs="Arial"/>
        </w:rPr>
        <w:t xml:space="preserve">využívaly vědně-oborové panely </w:t>
      </w:r>
      <w:r w:rsidR="00660EDD">
        <w:rPr>
          <w:rFonts w:ascii="Arial" w:eastAsia="Calibri" w:hAnsi="Arial" w:cs="Arial"/>
        </w:rPr>
        <w:t>mj.</w:t>
      </w:r>
      <w:r w:rsidR="00FB7894">
        <w:rPr>
          <w:rFonts w:ascii="Arial" w:eastAsia="Calibri" w:hAnsi="Arial" w:cs="Arial"/>
        </w:rPr>
        <w:t xml:space="preserve"> </w:t>
      </w:r>
      <w:r w:rsidR="00660EDD">
        <w:rPr>
          <w:rFonts w:ascii="Arial" w:eastAsia="Calibri" w:hAnsi="Arial" w:cs="Arial"/>
        </w:rPr>
        <w:t xml:space="preserve">i </w:t>
      </w:r>
      <w:r w:rsidRPr="008D1501">
        <w:rPr>
          <w:rFonts w:ascii="Arial" w:eastAsia="Calibri" w:hAnsi="Arial" w:cs="Arial"/>
        </w:rPr>
        <w:t xml:space="preserve">výstupy externího mezinárodního </w:t>
      </w:r>
      <w:proofErr w:type="spellStart"/>
      <w:r w:rsidRPr="008D1501">
        <w:rPr>
          <w:rFonts w:ascii="Arial" w:eastAsia="Calibri" w:hAnsi="Arial" w:cs="Arial"/>
        </w:rPr>
        <w:t>review</w:t>
      </w:r>
      <w:proofErr w:type="spellEnd"/>
      <w:r w:rsidRPr="008D1501">
        <w:rPr>
          <w:rFonts w:ascii="Arial" w:eastAsia="Calibri" w:hAnsi="Arial" w:cs="Arial"/>
        </w:rPr>
        <w:t xml:space="preserve">, spočívajícího ve </w:t>
      </w:r>
      <w:r w:rsidR="00FB7894">
        <w:rPr>
          <w:rFonts w:ascii="Arial" w:eastAsia="Calibri" w:hAnsi="Arial" w:cs="Arial"/>
        </w:rPr>
        <w:t>vy</w:t>
      </w:r>
      <w:r w:rsidRPr="008D1501">
        <w:rPr>
          <w:rFonts w:ascii="Arial" w:eastAsia="Calibri" w:hAnsi="Arial" w:cs="Arial"/>
        </w:rPr>
        <w:t xml:space="preserve">pracování </w:t>
      </w:r>
      <w:r w:rsidRPr="00FB7894">
        <w:rPr>
          <w:rFonts w:ascii="Arial" w:eastAsia="Calibri" w:hAnsi="Arial" w:cs="Arial"/>
          <w:b/>
          <w:bCs/>
        </w:rPr>
        <w:t xml:space="preserve">3 </w:t>
      </w:r>
      <w:r w:rsidR="00FB7894" w:rsidRPr="00FB7894">
        <w:rPr>
          <w:rFonts w:ascii="Arial" w:eastAsia="Calibri" w:hAnsi="Arial" w:cs="Arial"/>
          <w:b/>
          <w:bCs/>
        </w:rPr>
        <w:t xml:space="preserve">individuálních </w:t>
      </w:r>
      <w:r w:rsidRPr="00FB7894">
        <w:rPr>
          <w:rFonts w:ascii="Arial" w:eastAsia="Calibri" w:hAnsi="Arial" w:cs="Arial"/>
          <w:b/>
          <w:bCs/>
        </w:rPr>
        <w:t>posudků</w:t>
      </w:r>
      <w:r w:rsidRPr="008D1501">
        <w:rPr>
          <w:rFonts w:ascii="Arial" w:eastAsia="Calibri" w:hAnsi="Arial" w:cs="Arial"/>
        </w:rPr>
        <w:t xml:space="preserve"> ke každému </w:t>
      </w:r>
      <w:r w:rsidR="00FB7894">
        <w:rPr>
          <w:rFonts w:ascii="Arial" w:eastAsia="Calibri" w:hAnsi="Arial" w:cs="Arial"/>
        </w:rPr>
        <w:t xml:space="preserve">z </w:t>
      </w:r>
      <w:r w:rsidRPr="008D1501">
        <w:rPr>
          <w:rFonts w:ascii="Arial" w:eastAsia="Calibri" w:hAnsi="Arial" w:cs="Arial"/>
        </w:rPr>
        <w:t>projekt</w:t>
      </w:r>
      <w:r w:rsidR="00FB7894">
        <w:rPr>
          <w:rFonts w:ascii="Arial" w:eastAsia="Calibri" w:hAnsi="Arial" w:cs="Arial"/>
        </w:rPr>
        <w:t>ů</w:t>
      </w:r>
      <w:r w:rsidRPr="008D1501">
        <w:rPr>
          <w:rFonts w:ascii="Arial" w:eastAsia="Calibri" w:hAnsi="Arial" w:cs="Arial"/>
        </w:rPr>
        <w:t xml:space="preserve"> velk</w:t>
      </w:r>
      <w:r w:rsidR="00FB7894">
        <w:rPr>
          <w:rFonts w:ascii="Arial" w:eastAsia="Calibri" w:hAnsi="Arial" w:cs="Arial"/>
        </w:rPr>
        <w:t>ých</w:t>
      </w:r>
      <w:r w:rsidRPr="008D1501">
        <w:rPr>
          <w:rFonts w:ascii="Arial" w:eastAsia="Calibri" w:hAnsi="Arial" w:cs="Arial"/>
        </w:rPr>
        <w:t xml:space="preserve"> výzkumn</w:t>
      </w:r>
      <w:r w:rsidR="00FB7894">
        <w:rPr>
          <w:rFonts w:ascii="Arial" w:eastAsia="Calibri" w:hAnsi="Arial" w:cs="Arial"/>
        </w:rPr>
        <w:t>ých</w:t>
      </w:r>
      <w:r w:rsidRPr="008D1501">
        <w:rPr>
          <w:rFonts w:ascii="Arial" w:eastAsia="Calibri" w:hAnsi="Arial" w:cs="Arial"/>
        </w:rPr>
        <w:t xml:space="preserve"> infrastruktur hodnotitelem, který nebyl členem vědně-oborového panelu</w:t>
      </w:r>
      <w:r w:rsidR="009639DE">
        <w:rPr>
          <w:rFonts w:ascii="Arial" w:eastAsia="Calibri" w:hAnsi="Arial" w:cs="Arial"/>
        </w:rPr>
        <w:t xml:space="preserve"> a vykazoval bližší odbornou specializaci na oblast hodnoceného projektu</w:t>
      </w:r>
      <w:r w:rsidRPr="008D1501">
        <w:rPr>
          <w:rFonts w:ascii="Arial" w:eastAsia="Calibri" w:hAnsi="Arial" w:cs="Arial"/>
        </w:rPr>
        <w:t>.</w:t>
      </w:r>
    </w:p>
    <w:p w14:paraId="0C9D25A1" w14:textId="77777777" w:rsidR="00FB7894" w:rsidRDefault="00FB7894" w:rsidP="00106780">
      <w:pPr>
        <w:spacing w:after="0" w:line="240" w:lineRule="auto"/>
        <w:jc w:val="both"/>
        <w:rPr>
          <w:rFonts w:ascii="Arial" w:eastAsia="Calibri" w:hAnsi="Arial" w:cs="Arial"/>
        </w:rPr>
      </w:pPr>
    </w:p>
    <w:p w14:paraId="758EE9CA" w14:textId="024BCC19" w:rsidR="00FB7894" w:rsidRDefault="00FB7894" w:rsidP="00106780">
      <w:pPr>
        <w:spacing w:after="0" w:line="240" w:lineRule="auto"/>
        <w:jc w:val="both"/>
        <w:rPr>
          <w:rFonts w:ascii="Arial" w:eastAsia="Calibri" w:hAnsi="Arial" w:cs="Arial"/>
        </w:rPr>
      </w:pPr>
      <w:r w:rsidRPr="00FB7894">
        <w:rPr>
          <w:rFonts w:ascii="Arial" w:eastAsia="Calibri" w:hAnsi="Arial" w:cs="Arial"/>
        </w:rPr>
        <w:t xml:space="preserve">Vědně-oborové panely se věnovaly evaluaci více jak </w:t>
      </w:r>
      <w:r w:rsidRPr="00660EDD">
        <w:rPr>
          <w:rFonts w:ascii="Arial" w:eastAsia="Calibri" w:hAnsi="Arial" w:cs="Arial"/>
          <w:b/>
          <w:bCs/>
        </w:rPr>
        <w:t>6 kalendářních měsíců</w:t>
      </w:r>
      <w:r w:rsidR="00660EDD">
        <w:rPr>
          <w:rFonts w:ascii="Arial" w:eastAsia="Calibri" w:hAnsi="Arial" w:cs="Arial"/>
        </w:rPr>
        <w:t>,</w:t>
      </w:r>
      <w:r w:rsidRPr="00FB7894">
        <w:rPr>
          <w:rFonts w:ascii="Arial" w:eastAsia="Calibri" w:hAnsi="Arial" w:cs="Arial"/>
        </w:rPr>
        <w:t xml:space="preserve"> a nejenže jejich členové kvalitu projektů velkých výzkumných infrastruktur </w:t>
      </w:r>
      <w:r w:rsidR="00CF414B">
        <w:rPr>
          <w:rFonts w:ascii="Arial" w:eastAsia="Calibri" w:hAnsi="Arial" w:cs="Arial"/>
        </w:rPr>
        <w:t>debatovali</w:t>
      </w:r>
      <w:r w:rsidR="00CF414B" w:rsidRPr="00FB7894">
        <w:rPr>
          <w:rFonts w:ascii="Arial" w:eastAsia="Calibri" w:hAnsi="Arial" w:cs="Arial"/>
        </w:rPr>
        <w:t xml:space="preserve"> </w:t>
      </w:r>
      <w:r w:rsidRPr="00FB7894">
        <w:rPr>
          <w:rFonts w:ascii="Arial" w:eastAsia="Calibri" w:hAnsi="Arial" w:cs="Arial"/>
        </w:rPr>
        <w:t>kolektivně</w:t>
      </w:r>
      <w:r w:rsidR="00660EDD">
        <w:rPr>
          <w:rFonts w:ascii="Arial" w:eastAsia="Calibri" w:hAnsi="Arial" w:cs="Arial"/>
        </w:rPr>
        <w:t xml:space="preserve"> </w:t>
      </w:r>
      <w:r w:rsidRPr="00FB7894">
        <w:rPr>
          <w:rFonts w:ascii="Arial" w:eastAsia="Calibri" w:hAnsi="Arial" w:cs="Arial"/>
        </w:rPr>
        <w:t xml:space="preserve">s přihlédnutím k závěrům, ke kterým v rámci externího mezinárodního </w:t>
      </w:r>
      <w:proofErr w:type="spellStart"/>
      <w:r w:rsidRPr="00FB7894">
        <w:rPr>
          <w:rFonts w:ascii="Arial" w:eastAsia="Calibri" w:hAnsi="Arial" w:cs="Arial"/>
        </w:rPr>
        <w:t>review</w:t>
      </w:r>
      <w:proofErr w:type="spellEnd"/>
      <w:r w:rsidRPr="00FB7894">
        <w:rPr>
          <w:rFonts w:ascii="Arial" w:eastAsia="Calibri" w:hAnsi="Arial" w:cs="Arial"/>
        </w:rPr>
        <w:t xml:space="preserve"> dospěli individuální oponenti, avšak měli</w:t>
      </w:r>
      <w:r w:rsidR="002C1F67">
        <w:rPr>
          <w:rFonts w:ascii="Arial" w:eastAsia="Calibri" w:hAnsi="Arial" w:cs="Arial"/>
        </w:rPr>
        <w:t xml:space="preserve"> i</w:t>
      </w:r>
      <w:r w:rsidRPr="00FB7894">
        <w:rPr>
          <w:rFonts w:ascii="Arial" w:eastAsia="Calibri" w:hAnsi="Arial" w:cs="Arial"/>
        </w:rPr>
        <w:t xml:space="preserve"> možnost se zástupci projektů velkých výzkumných infrastruktur pohovořit během </w:t>
      </w:r>
      <w:r w:rsidRPr="00FB7894">
        <w:rPr>
          <w:rFonts w:ascii="Arial" w:eastAsia="Calibri" w:hAnsi="Arial" w:cs="Arial"/>
          <w:b/>
        </w:rPr>
        <w:t>interview</w:t>
      </w:r>
      <w:r w:rsidRPr="00FB7894">
        <w:rPr>
          <w:rFonts w:ascii="Arial" w:eastAsia="Calibri" w:hAnsi="Arial" w:cs="Arial"/>
        </w:rPr>
        <w:t xml:space="preserve"> a dotázat se na eventuálně nejasné aspekty dokumentace předložené </w:t>
      </w:r>
      <w:r w:rsidR="00660EDD">
        <w:rPr>
          <w:rFonts w:ascii="Arial" w:eastAsia="Calibri" w:hAnsi="Arial" w:cs="Arial"/>
        </w:rPr>
        <w:t>k</w:t>
      </w:r>
      <w:r w:rsidRPr="00FB7894">
        <w:rPr>
          <w:rFonts w:ascii="Arial" w:eastAsia="Calibri" w:hAnsi="Arial" w:cs="Arial"/>
        </w:rPr>
        <w:t xml:space="preserve"> hodnocení. </w:t>
      </w:r>
    </w:p>
    <w:p w14:paraId="5C3B6969" w14:textId="77777777" w:rsidR="00DA1151" w:rsidRDefault="00DA1151" w:rsidP="008D1501">
      <w:pPr>
        <w:pStyle w:val="Default"/>
        <w:jc w:val="both"/>
        <w:rPr>
          <w:rFonts w:eastAsia="Calibri"/>
          <w:sz w:val="22"/>
        </w:rPr>
      </w:pPr>
    </w:p>
    <w:p w14:paraId="1BE0560C" w14:textId="3E82B3C0" w:rsidR="008D1501" w:rsidRPr="00531A62" w:rsidRDefault="008D1501" w:rsidP="008D1501">
      <w:pPr>
        <w:pStyle w:val="Default"/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 xml:space="preserve">Co do </w:t>
      </w:r>
      <w:r w:rsidRPr="00160549">
        <w:rPr>
          <w:rFonts w:eastAsia="Calibri"/>
          <w:b/>
          <w:sz w:val="22"/>
        </w:rPr>
        <w:t>evaluačních kritérií</w:t>
      </w:r>
      <w:r>
        <w:rPr>
          <w:rFonts w:eastAsia="Calibri"/>
          <w:sz w:val="22"/>
        </w:rPr>
        <w:t xml:space="preserve">, </w:t>
      </w:r>
      <w:r w:rsidR="004C28FA">
        <w:rPr>
          <w:rFonts w:eastAsia="Calibri"/>
          <w:sz w:val="22"/>
        </w:rPr>
        <w:t>m</w:t>
      </w:r>
      <w:r w:rsidRPr="00531A62">
        <w:rPr>
          <w:rFonts w:eastAsia="Calibri"/>
          <w:sz w:val="22"/>
        </w:rPr>
        <w:t>etodika zahrn</w:t>
      </w:r>
      <w:r>
        <w:rPr>
          <w:rFonts w:eastAsia="Calibri"/>
          <w:sz w:val="22"/>
        </w:rPr>
        <w:t>ovala</w:t>
      </w:r>
      <w:r w:rsidRPr="00531A62">
        <w:rPr>
          <w:rFonts w:eastAsia="Calibri"/>
          <w:sz w:val="22"/>
        </w:rPr>
        <w:t xml:space="preserve"> širokou škálu hodnotících kritérií,</w:t>
      </w:r>
      <w:r w:rsidR="004C28FA">
        <w:rPr>
          <w:rFonts w:eastAsia="Calibri"/>
          <w:sz w:val="22"/>
        </w:rPr>
        <w:t xml:space="preserve"> jež postihla</w:t>
      </w:r>
      <w:r w:rsidRPr="00531A62">
        <w:rPr>
          <w:rFonts w:eastAsia="Calibri"/>
          <w:sz w:val="22"/>
        </w:rPr>
        <w:t xml:space="preserve"> rozsáhlou paletu atributů znalostní a technologické kvality</w:t>
      </w:r>
      <w:r>
        <w:rPr>
          <w:rFonts w:eastAsia="Calibri"/>
          <w:sz w:val="22"/>
        </w:rPr>
        <w:t xml:space="preserve">, provozu, výkonnosti a </w:t>
      </w:r>
      <w:r w:rsidRPr="00531A62">
        <w:rPr>
          <w:rFonts w:eastAsia="Calibri"/>
          <w:sz w:val="22"/>
        </w:rPr>
        <w:t>investičního rozvoje</w:t>
      </w:r>
      <w:r w:rsidR="004C28FA">
        <w:rPr>
          <w:rFonts w:eastAsia="Calibri"/>
          <w:sz w:val="22"/>
        </w:rPr>
        <w:t xml:space="preserve"> velkých výzkumných infrastruktur, a to včetně socioekonomických přínosů a dopadů</w:t>
      </w:r>
      <w:r w:rsidR="0028611C">
        <w:rPr>
          <w:rFonts w:eastAsia="Calibri"/>
          <w:sz w:val="22"/>
        </w:rPr>
        <w:t>:</w:t>
      </w:r>
    </w:p>
    <w:p w14:paraId="0851D225" w14:textId="77777777" w:rsidR="008D1501" w:rsidRPr="00531A62" w:rsidRDefault="008D1501" w:rsidP="008D1501">
      <w:pPr>
        <w:pStyle w:val="Default"/>
        <w:jc w:val="both"/>
        <w:rPr>
          <w:rFonts w:eastAsia="Calibri"/>
          <w:sz w:val="22"/>
        </w:rPr>
      </w:pPr>
    </w:p>
    <w:p w14:paraId="45F7895E" w14:textId="07150A24" w:rsidR="008D1501" w:rsidRDefault="008D1501">
      <w:pPr>
        <w:pStyle w:val="Default"/>
        <w:numPr>
          <w:ilvl w:val="0"/>
          <w:numId w:val="3"/>
        </w:numPr>
        <w:jc w:val="both"/>
        <w:rPr>
          <w:rFonts w:eastAsia="Calibri"/>
          <w:sz w:val="22"/>
        </w:rPr>
      </w:pPr>
      <w:r w:rsidRPr="00AA3E38">
        <w:rPr>
          <w:rFonts w:eastAsia="Calibri"/>
          <w:b/>
          <w:bCs/>
          <w:sz w:val="22"/>
        </w:rPr>
        <w:t>Znalostní</w:t>
      </w:r>
      <w:r w:rsidR="00AA3E38" w:rsidRPr="00AA3E38">
        <w:rPr>
          <w:rFonts w:eastAsia="Calibri"/>
          <w:b/>
          <w:bCs/>
          <w:sz w:val="22"/>
        </w:rPr>
        <w:t xml:space="preserve"> </w:t>
      </w:r>
      <w:r w:rsidR="00AA3E38">
        <w:rPr>
          <w:rFonts w:eastAsia="Calibri"/>
          <w:b/>
          <w:bCs/>
          <w:sz w:val="22"/>
        </w:rPr>
        <w:t>a</w:t>
      </w:r>
      <w:r w:rsidR="00AA3E38" w:rsidRPr="00AA3E38">
        <w:rPr>
          <w:rFonts w:eastAsia="Calibri"/>
          <w:b/>
          <w:bCs/>
          <w:sz w:val="22"/>
        </w:rPr>
        <w:t xml:space="preserve"> </w:t>
      </w:r>
      <w:r w:rsidRPr="00AA3E38">
        <w:rPr>
          <w:rFonts w:eastAsia="Calibri"/>
          <w:b/>
          <w:bCs/>
          <w:sz w:val="22"/>
        </w:rPr>
        <w:t>technologická expertíza</w:t>
      </w:r>
      <w:r w:rsidRPr="00531A62">
        <w:rPr>
          <w:rFonts w:eastAsia="Calibri"/>
          <w:sz w:val="22"/>
        </w:rPr>
        <w:t xml:space="preserve"> poskytovaná uživatelům v otevřené</w:t>
      </w:r>
      <w:r w:rsidR="00AA3E38">
        <w:rPr>
          <w:rFonts w:eastAsia="Calibri"/>
          <w:sz w:val="22"/>
        </w:rPr>
        <w:t>m</w:t>
      </w:r>
      <w:r w:rsidRPr="00531A62">
        <w:rPr>
          <w:rFonts w:eastAsia="Calibri"/>
          <w:sz w:val="22"/>
        </w:rPr>
        <w:t xml:space="preserve"> přístupu;</w:t>
      </w:r>
    </w:p>
    <w:p w14:paraId="445DB044" w14:textId="2085F387" w:rsidR="008D1501" w:rsidRDefault="008D1501" w:rsidP="00AA3E38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eastAsia="Calibri"/>
          <w:sz w:val="22"/>
        </w:rPr>
      </w:pPr>
      <w:r w:rsidRPr="00AA3E38">
        <w:rPr>
          <w:rFonts w:eastAsia="Calibri"/>
          <w:b/>
          <w:bCs/>
          <w:sz w:val="22"/>
        </w:rPr>
        <w:t xml:space="preserve">Organizační struktura, management a personální </w:t>
      </w:r>
      <w:r w:rsidR="00AA3E38">
        <w:rPr>
          <w:rFonts w:eastAsia="Calibri"/>
          <w:b/>
          <w:bCs/>
          <w:sz w:val="22"/>
        </w:rPr>
        <w:t>zajištění</w:t>
      </w:r>
      <w:r w:rsidRPr="00160549">
        <w:rPr>
          <w:rFonts w:eastAsia="Calibri"/>
          <w:sz w:val="22"/>
        </w:rPr>
        <w:t xml:space="preserve"> provozovan</w:t>
      </w:r>
      <w:r>
        <w:rPr>
          <w:rFonts w:eastAsia="Calibri"/>
          <w:sz w:val="22"/>
        </w:rPr>
        <w:t>é</w:t>
      </w:r>
      <w:r w:rsidRPr="00160549">
        <w:rPr>
          <w:rFonts w:eastAsia="Calibri"/>
          <w:sz w:val="22"/>
        </w:rPr>
        <w:t>h</w:t>
      </w:r>
      <w:r>
        <w:rPr>
          <w:rFonts w:eastAsia="Calibri"/>
          <w:sz w:val="22"/>
        </w:rPr>
        <w:t>o</w:t>
      </w:r>
      <w:r w:rsidRPr="00160549">
        <w:rPr>
          <w:rFonts w:eastAsia="Calibri"/>
          <w:sz w:val="22"/>
        </w:rPr>
        <w:t xml:space="preserve"> zařízení</w:t>
      </w:r>
      <w:r>
        <w:rPr>
          <w:rFonts w:eastAsia="Calibri"/>
          <w:sz w:val="22"/>
        </w:rPr>
        <w:t>;</w:t>
      </w:r>
    </w:p>
    <w:p w14:paraId="594007BA" w14:textId="77777777" w:rsidR="008D1501" w:rsidRPr="00531A62" w:rsidRDefault="008D1501" w:rsidP="00AA3E38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eastAsia="Calibri"/>
          <w:sz w:val="22"/>
        </w:rPr>
      </w:pPr>
      <w:r w:rsidRPr="00AA3E38">
        <w:rPr>
          <w:rFonts w:eastAsia="Calibri"/>
          <w:b/>
          <w:bCs/>
          <w:sz w:val="22"/>
        </w:rPr>
        <w:t>Relevance, důležitost a význam</w:t>
      </w:r>
      <w:r w:rsidRPr="00531A62">
        <w:rPr>
          <w:rFonts w:eastAsia="Calibri"/>
          <w:sz w:val="22"/>
        </w:rPr>
        <w:t xml:space="preserve"> pro vědeckou a průmyslovou uživatelskou komunitu;</w:t>
      </w:r>
    </w:p>
    <w:p w14:paraId="08756169" w14:textId="77777777" w:rsidR="008D1501" w:rsidRPr="00531A62" w:rsidRDefault="008D1501" w:rsidP="00AA3E38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eastAsia="Calibri"/>
          <w:sz w:val="22"/>
        </w:rPr>
      </w:pPr>
      <w:r w:rsidRPr="00AA3E38">
        <w:rPr>
          <w:rFonts w:eastAsia="Calibri"/>
          <w:b/>
          <w:bCs/>
          <w:sz w:val="22"/>
        </w:rPr>
        <w:t>Spolupráce, networking a klastrování</w:t>
      </w:r>
      <w:r w:rsidRPr="00531A62">
        <w:rPr>
          <w:rFonts w:eastAsia="Calibri"/>
          <w:sz w:val="22"/>
        </w:rPr>
        <w:t xml:space="preserve"> na národní a mezinárodní úrovni;</w:t>
      </w:r>
    </w:p>
    <w:p w14:paraId="1A26AFC5" w14:textId="77777777" w:rsidR="008D1501" w:rsidRPr="00531A62" w:rsidRDefault="008D1501" w:rsidP="00AA3E38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eastAsia="Calibri"/>
          <w:sz w:val="22"/>
        </w:rPr>
      </w:pPr>
      <w:r w:rsidRPr="00AA3E38">
        <w:rPr>
          <w:rFonts w:eastAsia="Calibri"/>
          <w:b/>
          <w:bCs/>
          <w:sz w:val="22"/>
        </w:rPr>
        <w:t>Socioekonomické přínosy a dopady</w:t>
      </w:r>
      <w:r w:rsidRPr="00531A62">
        <w:rPr>
          <w:rFonts w:eastAsia="Calibri"/>
          <w:sz w:val="22"/>
        </w:rPr>
        <w:t xml:space="preserve"> na vědu, průmysl a společnost;</w:t>
      </w:r>
    </w:p>
    <w:p w14:paraId="5931DC00" w14:textId="77777777" w:rsidR="008D1501" w:rsidRPr="00531A62" w:rsidRDefault="008D1501" w:rsidP="00AA3E38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eastAsia="Calibri"/>
          <w:sz w:val="22"/>
        </w:rPr>
      </w:pPr>
      <w:r w:rsidRPr="00AA3E38">
        <w:rPr>
          <w:rFonts w:eastAsia="Calibri"/>
          <w:b/>
          <w:bCs/>
          <w:sz w:val="22"/>
        </w:rPr>
        <w:t>Uživatelská strategie a politika otevřeného přístupu</w:t>
      </w:r>
      <w:r w:rsidRPr="00531A62">
        <w:rPr>
          <w:rFonts w:eastAsia="Calibri"/>
          <w:sz w:val="22"/>
        </w:rPr>
        <w:t xml:space="preserve"> k zařízením;</w:t>
      </w:r>
    </w:p>
    <w:p w14:paraId="68D1D81F" w14:textId="77777777" w:rsidR="008D1501" w:rsidRPr="00531A62" w:rsidRDefault="008D1501" w:rsidP="00AA3E38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eastAsia="Calibri"/>
          <w:sz w:val="22"/>
        </w:rPr>
      </w:pPr>
      <w:r w:rsidRPr="00AA3E38">
        <w:rPr>
          <w:rFonts w:eastAsia="Calibri"/>
          <w:b/>
          <w:bCs/>
          <w:sz w:val="22"/>
        </w:rPr>
        <w:t>e-Infrastrukturní strategie</w:t>
      </w:r>
      <w:r w:rsidRPr="00531A62">
        <w:rPr>
          <w:rFonts w:eastAsia="Calibri"/>
          <w:sz w:val="22"/>
        </w:rPr>
        <w:t xml:space="preserve"> a politika data managementu;</w:t>
      </w:r>
    </w:p>
    <w:p w14:paraId="555CFB39" w14:textId="77777777" w:rsidR="008D1501" w:rsidRPr="00531A62" w:rsidRDefault="008D1501" w:rsidP="00AA3E38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eastAsia="Calibri"/>
          <w:sz w:val="22"/>
        </w:rPr>
      </w:pPr>
      <w:r w:rsidRPr="00C81FE5">
        <w:rPr>
          <w:rFonts w:eastAsia="Calibri"/>
          <w:b/>
          <w:bCs/>
          <w:sz w:val="22"/>
        </w:rPr>
        <w:t xml:space="preserve">Strategie proveditelnosti </w:t>
      </w:r>
      <w:r w:rsidRPr="00C81FE5">
        <w:rPr>
          <w:rFonts w:eastAsia="Calibri"/>
          <w:sz w:val="22"/>
        </w:rPr>
        <w:t>a SWOT analýza</w:t>
      </w:r>
      <w:r w:rsidRPr="00531A62">
        <w:rPr>
          <w:rFonts w:eastAsia="Calibri"/>
          <w:sz w:val="22"/>
        </w:rPr>
        <w:t>;</w:t>
      </w:r>
    </w:p>
    <w:p w14:paraId="6B1E8B00" w14:textId="77777777" w:rsidR="008D1501" w:rsidRPr="00531A62" w:rsidRDefault="008D1501" w:rsidP="00AA3E38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eastAsia="Calibri"/>
          <w:sz w:val="22"/>
        </w:rPr>
      </w:pPr>
      <w:r w:rsidRPr="00C81FE5">
        <w:rPr>
          <w:rFonts w:eastAsia="Calibri"/>
          <w:b/>
          <w:bCs/>
          <w:sz w:val="22"/>
        </w:rPr>
        <w:t>Benchmarking</w:t>
      </w:r>
      <w:r w:rsidRPr="00531A62">
        <w:rPr>
          <w:rFonts w:eastAsia="Calibri"/>
          <w:sz w:val="22"/>
        </w:rPr>
        <w:t xml:space="preserve"> v mezinárodním měřítku;</w:t>
      </w:r>
    </w:p>
    <w:p w14:paraId="0DC78247" w14:textId="77777777" w:rsidR="008D1501" w:rsidRPr="00531A62" w:rsidRDefault="008D1501" w:rsidP="00AA3E38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eastAsia="Calibri"/>
          <w:sz w:val="22"/>
        </w:rPr>
      </w:pPr>
      <w:r w:rsidRPr="00C81FE5">
        <w:rPr>
          <w:rFonts w:eastAsia="Calibri"/>
          <w:b/>
          <w:bCs/>
          <w:sz w:val="22"/>
        </w:rPr>
        <w:t>Komunikace</w:t>
      </w:r>
      <w:r w:rsidRPr="00531A62">
        <w:rPr>
          <w:rFonts w:eastAsia="Calibri"/>
          <w:sz w:val="22"/>
        </w:rPr>
        <w:t xml:space="preserve"> s veřejností a marketing;</w:t>
      </w:r>
    </w:p>
    <w:p w14:paraId="39DD9A43" w14:textId="77777777" w:rsidR="008D1501" w:rsidRPr="00531A62" w:rsidRDefault="008D1501" w:rsidP="00AA3E38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eastAsia="Calibri"/>
          <w:sz w:val="22"/>
        </w:rPr>
      </w:pPr>
      <w:r w:rsidRPr="00C81FE5">
        <w:rPr>
          <w:rFonts w:eastAsia="Calibri"/>
          <w:b/>
          <w:bCs/>
          <w:sz w:val="22"/>
        </w:rPr>
        <w:t>Kvantita a kvalita</w:t>
      </w:r>
      <w:r w:rsidRPr="00531A62">
        <w:rPr>
          <w:rFonts w:eastAsia="Calibri"/>
          <w:sz w:val="22"/>
        </w:rPr>
        <w:t xml:space="preserve"> </w:t>
      </w:r>
      <w:r w:rsidRPr="008B2FD9">
        <w:rPr>
          <w:rFonts w:eastAsia="Calibri"/>
          <w:b/>
          <w:bCs/>
          <w:sz w:val="22"/>
        </w:rPr>
        <w:t>výsledků</w:t>
      </w:r>
      <w:r w:rsidRPr="00531A62">
        <w:rPr>
          <w:rFonts w:eastAsia="Calibri"/>
          <w:sz w:val="22"/>
        </w:rPr>
        <w:t xml:space="preserve"> výzkumu, vývoje a inovací;</w:t>
      </w:r>
    </w:p>
    <w:p w14:paraId="0573C639" w14:textId="77777777" w:rsidR="008D1501" w:rsidRPr="00531A62" w:rsidRDefault="008D1501" w:rsidP="00AA3E38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eastAsia="Calibri"/>
          <w:sz w:val="22"/>
        </w:rPr>
      </w:pPr>
      <w:r w:rsidRPr="00C81FE5">
        <w:rPr>
          <w:rFonts w:eastAsia="Calibri"/>
          <w:b/>
          <w:bCs/>
          <w:sz w:val="22"/>
        </w:rPr>
        <w:t>Klíčové výkonnostní indikátory</w:t>
      </w:r>
      <w:r w:rsidRPr="00531A62">
        <w:rPr>
          <w:rFonts w:eastAsia="Calibri"/>
          <w:sz w:val="22"/>
        </w:rPr>
        <w:t xml:space="preserve"> (</w:t>
      </w:r>
      <w:proofErr w:type="spellStart"/>
      <w:r w:rsidRPr="00531A62">
        <w:rPr>
          <w:rFonts w:eastAsia="Calibri"/>
          <w:sz w:val="22"/>
        </w:rPr>
        <w:t>KPIs</w:t>
      </w:r>
      <w:proofErr w:type="spellEnd"/>
      <w:r w:rsidRPr="00531A62">
        <w:rPr>
          <w:rFonts w:eastAsia="Calibri"/>
          <w:sz w:val="22"/>
        </w:rPr>
        <w:t>);</w:t>
      </w:r>
    </w:p>
    <w:p w14:paraId="45882FEE" w14:textId="77777777" w:rsidR="008D1501" w:rsidRDefault="008D1501">
      <w:pPr>
        <w:pStyle w:val="Default"/>
        <w:numPr>
          <w:ilvl w:val="0"/>
          <w:numId w:val="3"/>
        </w:numPr>
        <w:jc w:val="both"/>
        <w:rPr>
          <w:rFonts w:eastAsia="Calibri"/>
          <w:sz w:val="22"/>
        </w:rPr>
      </w:pPr>
      <w:r w:rsidRPr="00C81FE5">
        <w:rPr>
          <w:rFonts w:eastAsia="Calibri"/>
          <w:b/>
          <w:bCs/>
          <w:sz w:val="22"/>
        </w:rPr>
        <w:t>Rozpočtové náklady</w:t>
      </w:r>
      <w:r w:rsidRPr="00531A62">
        <w:rPr>
          <w:rFonts w:eastAsia="Calibri"/>
          <w:sz w:val="22"/>
        </w:rPr>
        <w:t xml:space="preserve"> na provoz a další investiční rozvoj.</w:t>
      </w:r>
    </w:p>
    <w:p w14:paraId="14A39248" w14:textId="296C377F" w:rsidR="008D1501" w:rsidRDefault="008D1501" w:rsidP="008D1501">
      <w:pPr>
        <w:pStyle w:val="Default"/>
        <w:jc w:val="both"/>
        <w:rPr>
          <w:rFonts w:eastAsia="Calibri"/>
          <w:sz w:val="22"/>
        </w:rPr>
      </w:pPr>
    </w:p>
    <w:p w14:paraId="47B1BA62" w14:textId="1117A282" w:rsidR="003D4CEB" w:rsidRPr="00EB7026" w:rsidRDefault="003D4CEB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Výsledky a výstupy</w:t>
      </w:r>
    </w:p>
    <w:p w14:paraId="3799C48D" w14:textId="21161EA8" w:rsidR="003D4CEB" w:rsidRDefault="003D4CEB" w:rsidP="008D1501">
      <w:pPr>
        <w:pStyle w:val="Default"/>
        <w:jc w:val="both"/>
        <w:rPr>
          <w:rFonts w:eastAsia="Calibri"/>
          <w:sz w:val="22"/>
        </w:rPr>
      </w:pPr>
    </w:p>
    <w:p w14:paraId="4FE5A0BA" w14:textId="3D5D2DC2" w:rsidR="0028611C" w:rsidRDefault="0028611C" w:rsidP="00660EDD">
      <w:pPr>
        <w:spacing w:after="0" w:line="240" w:lineRule="auto"/>
        <w:jc w:val="both"/>
        <w:rPr>
          <w:rFonts w:ascii="Arial" w:eastAsia="Calibri" w:hAnsi="Arial" w:cs="Arial"/>
        </w:rPr>
      </w:pPr>
      <w:r w:rsidRPr="0028611C">
        <w:rPr>
          <w:rFonts w:ascii="Arial" w:eastAsia="Calibri" w:hAnsi="Arial" w:cs="Arial"/>
        </w:rPr>
        <w:t xml:space="preserve">MŠMT obdrželo v návaznosti na vyhlášení výzvy k předkládání dokumentace pro mezinárodní </w:t>
      </w:r>
      <w:r w:rsidR="003D4CEB">
        <w:rPr>
          <w:rFonts w:ascii="Arial" w:eastAsia="Calibri" w:hAnsi="Arial" w:cs="Arial"/>
        </w:rPr>
        <w:t>evaluaci</w:t>
      </w:r>
      <w:r w:rsidRPr="0028611C">
        <w:rPr>
          <w:rFonts w:ascii="Arial" w:eastAsia="Calibri" w:hAnsi="Arial" w:cs="Arial"/>
        </w:rPr>
        <w:t xml:space="preserve"> velkých výzkumných infrastruktur </w:t>
      </w:r>
      <w:r w:rsidRPr="003D4CEB">
        <w:rPr>
          <w:rFonts w:ascii="Arial" w:eastAsia="Calibri" w:hAnsi="Arial" w:cs="Arial"/>
          <w:b/>
          <w:bCs/>
        </w:rPr>
        <w:t xml:space="preserve">57 projektů </w:t>
      </w:r>
      <w:r w:rsidRPr="00737477">
        <w:rPr>
          <w:rFonts w:ascii="Arial" w:eastAsia="Calibri" w:hAnsi="Arial" w:cs="Arial"/>
        </w:rPr>
        <w:t>velkých výzkumných infrastruktur</w:t>
      </w:r>
      <w:r w:rsidRPr="0028611C">
        <w:rPr>
          <w:rFonts w:ascii="Arial" w:eastAsia="Calibri" w:hAnsi="Arial" w:cs="Arial"/>
        </w:rPr>
        <w:t xml:space="preserve">, </w:t>
      </w:r>
      <w:r w:rsidR="00E808B3">
        <w:rPr>
          <w:rFonts w:ascii="Arial" w:eastAsia="Calibri" w:hAnsi="Arial" w:cs="Arial"/>
        </w:rPr>
        <w:t>z</w:t>
      </w:r>
      <w:r w:rsidR="00737477">
        <w:rPr>
          <w:rFonts w:ascii="Arial" w:eastAsia="Calibri" w:hAnsi="Arial" w:cs="Arial"/>
        </w:rPr>
        <w:t>e</w:t>
      </w:r>
      <w:r w:rsidR="00E808B3">
        <w:rPr>
          <w:rFonts w:ascii="Arial" w:eastAsia="Calibri" w:hAnsi="Arial" w:cs="Arial"/>
        </w:rPr>
        <w:t xml:space="preserve"> </w:t>
      </w:r>
      <w:r w:rsidR="00737477">
        <w:rPr>
          <w:rFonts w:ascii="Arial" w:eastAsia="Calibri" w:hAnsi="Arial" w:cs="Arial"/>
        </w:rPr>
        <w:t>kterých</w:t>
      </w:r>
      <w:r w:rsidRPr="0028611C">
        <w:rPr>
          <w:rFonts w:ascii="Arial" w:eastAsia="Calibri" w:hAnsi="Arial" w:cs="Arial"/>
        </w:rPr>
        <w:t xml:space="preserve"> 45 projektů</w:t>
      </w:r>
      <w:r w:rsidR="00E808B3">
        <w:rPr>
          <w:rStyle w:val="Znakapoznpodarou"/>
          <w:rFonts w:ascii="Arial" w:eastAsia="Calibri" w:hAnsi="Arial" w:cs="Arial"/>
        </w:rPr>
        <w:footnoteReference w:id="3"/>
      </w:r>
      <w:r w:rsidRPr="0028611C">
        <w:rPr>
          <w:rFonts w:ascii="Arial" w:eastAsia="Calibri" w:hAnsi="Arial" w:cs="Arial"/>
        </w:rPr>
        <w:t xml:space="preserve"> je aktuálně MŠMT </w:t>
      </w:r>
      <w:r w:rsidR="003D4CEB">
        <w:rPr>
          <w:rFonts w:ascii="Arial" w:eastAsia="Calibri" w:hAnsi="Arial" w:cs="Arial"/>
        </w:rPr>
        <w:t>financováno</w:t>
      </w:r>
      <w:r w:rsidRPr="0028611C">
        <w:rPr>
          <w:rFonts w:ascii="Arial" w:eastAsia="Calibri" w:hAnsi="Arial" w:cs="Arial"/>
        </w:rPr>
        <w:t xml:space="preserve"> a absolvovaly </w:t>
      </w:r>
      <w:r w:rsidR="00E808B3">
        <w:rPr>
          <w:rFonts w:ascii="Arial" w:eastAsia="Calibri" w:hAnsi="Arial" w:cs="Arial"/>
        </w:rPr>
        <w:t>tedy</w:t>
      </w:r>
      <w:r w:rsidRPr="0028611C">
        <w:rPr>
          <w:rFonts w:ascii="Arial" w:eastAsia="Calibri" w:hAnsi="Arial" w:cs="Arial"/>
        </w:rPr>
        <w:t xml:space="preserve"> tzv. interim hodnocení a 12 nových návrhů bylo předloženo za účelem</w:t>
      </w:r>
      <w:r w:rsidR="003D4CEB">
        <w:rPr>
          <w:rFonts w:ascii="Arial" w:eastAsia="Calibri" w:hAnsi="Arial" w:cs="Arial"/>
        </w:rPr>
        <w:t xml:space="preserve"> jejich</w:t>
      </w:r>
      <w:r w:rsidRPr="0028611C">
        <w:rPr>
          <w:rFonts w:ascii="Arial" w:eastAsia="Calibri" w:hAnsi="Arial" w:cs="Arial"/>
        </w:rPr>
        <w:t xml:space="preserve"> tzv. ex-ante hodnocení.</w:t>
      </w:r>
    </w:p>
    <w:p w14:paraId="77B0270A" w14:textId="3BD69242" w:rsidR="003D4CEB" w:rsidRPr="00E808B3" w:rsidRDefault="003D4CEB" w:rsidP="00660EDD">
      <w:pPr>
        <w:spacing w:after="0" w:line="240" w:lineRule="auto"/>
        <w:jc w:val="both"/>
        <w:rPr>
          <w:rFonts w:ascii="Arial" w:eastAsia="Calibri" w:hAnsi="Arial" w:cs="Arial"/>
        </w:rPr>
      </w:pPr>
    </w:p>
    <w:p w14:paraId="5C8E59A1" w14:textId="77777777" w:rsidR="00DA1151" w:rsidRDefault="003D4CEB" w:rsidP="00E808B3">
      <w:pPr>
        <w:spacing w:after="0" w:line="240" w:lineRule="auto"/>
        <w:jc w:val="both"/>
        <w:rPr>
          <w:rFonts w:ascii="Arial" w:eastAsia="Calibri" w:hAnsi="Arial" w:cs="Arial"/>
        </w:rPr>
      </w:pPr>
      <w:r w:rsidRPr="00E808B3">
        <w:rPr>
          <w:rFonts w:ascii="Arial" w:eastAsia="Calibri" w:hAnsi="Arial" w:cs="Arial"/>
        </w:rPr>
        <w:t xml:space="preserve">Výsledky uskutečněné evaluace zaznamenaly jednotlivé vědně-oborové panely mezinárodní hodnotící komise prostřednictvím tzv. </w:t>
      </w:r>
      <w:r w:rsidRPr="00E808B3">
        <w:rPr>
          <w:rFonts w:ascii="Arial" w:eastAsia="Calibri" w:hAnsi="Arial" w:cs="Arial"/>
          <w:b/>
        </w:rPr>
        <w:t>konsensuálních posudků</w:t>
      </w:r>
      <w:r w:rsidRPr="00E808B3">
        <w:rPr>
          <w:rFonts w:ascii="Arial" w:eastAsia="Calibri" w:hAnsi="Arial" w:cs="Arial"/>
        </w:rPr>
        <w:t>, vypracovaných ke každému jednomu projektu velké výzkumné infrastruktury.</w:t>
      </w:r>
      <w:r w:rsidR="00E808B3" w:rsidRPr="00E808B3">
        <w:rPr>
          <w:rFonts w:ascii="Arial" w:eastAsia="Calibri" w:hAnsi="Arial" w:cs="Arial"/>
        </w:rPr>
        <w:t xml:space="preserve"> </w:t>
      </w:r>
    </w:p>
    <w:p w14:paraId="22A97253" w14:textId="77777777" w:rsidR="00DA1151" w:rsidRDefault="00DA1151" w:rsidP="00E808B3">
      <w:pPr>
        <w:spacing w:after="0" w:line="240" w:lineRule="auto"/>
        <w:jc w:val="both"/>
        <w:rPr>
          <w:rFonts w:ascii="Arial" w:eastAsia="Calibri" w:hAnsi="Arial" w:cs="Arial"/>
        </w:rPr>
      </w:pPr>
    </w:p>
    <w:p w14:paraId="09870F3C" w14:textId="5A329325" w:rsidR="00DA1151" w:rsidRDefault="003D4CEB" w:rsidP="00E808B3">
      <w:pPr>
        <w:spacing w:after="0" w:line="240" w:lineRule="auto"/>
        <w:jc w:val="both"/>
        <w:rPr>
          <w:rFonts w:ascii="Arial" w:hAnsi="Arial" w:cs="Arial"/>
          <w:bCs/>
        </w:rPr>
      </w:pPr>
      <w:r w:rsidRPr="00E808B3">
        <w:rPr>
          <w:rFonts w:ascii="Arial" w:hAnsi="Arial" w:cs="Arial"/>
          <w:bCs/>
        </w:rPr>
        <w:t>V souladu s metodickým rámcem byly velké výzkumné infrastruktury a jejich nové návrhy ze strany vědně-oborových panelů ohodnoceny</w:t>
      </w:r>
      <w:r w:rsidRPr="00E808B3">
        <w:rPr>
          <w:rFonts w:ascii="Arial" w:hAnsi="Arial" w:cs="Arial"/>
          <w:b/>
          <w:bCs/>
        </w:rPr>
        <w:t xml:space="preserve"> </w:t>
      </w:r>
      <w:r w:rsidRPr="00E808B3">
        <w:rPr>
          <w:rFonts w:ascii="Arial" w:hAnsi="Arial" w:cs="Arial"/>
          <w:bCs/>
        </w:rPr>
        <w:t xml:space="preserve">souhrnnou známkou značící </w:t>
      </w:r>
      <w:r w:rsidRPr="00E808B3">
        <w:rPr>
          <w:rFonts w:ascii="Arial" w:hAnsi="Arial" w:cs="Arial"/>
          <w:b/>
          <w:bCs/>
        </w:rPr>
        <w:t>kvalitativní úroveň na stupnici od 5 do 1</w:t>
      </w:r>
      <w:r w:rsidRPr="00E808B3">
        <w:rPr>
          <w:rFonts w:ascii="Arial" w:hAnsi="Arial" w:cs="Arial"/>
          <w:bCs/>
        </w:rPr>
        <w:t xml:space="preserve">, přičemž známka 5 značí </w:t>
      </w:r>
      <w:r w:rsidR="004C28FA">
        <w:rPr>
          <w:rFonts w:ascii="Arial" w:hAnsi="Arial" w:cs="Arial"/>
          <w:bCs/>
        </w:rPr>
        <w:t>vůbec</w:t>
      </w:r>
      <w:r w:rsidR="00DA1151">
        <w:rPr>
          <w:rFonts w:ascii="Arial" w:hAnsi="Arial" w:cs="Arial"/>
          <w:bCs/>
        </w:rPr>
        <w:t xml:space="preserve"> </w:t>
      </w:r>
      <w:r w:rsidRPr="00E808B3">
        <w:rPr>
          <w:rFonts w:ascii="Arial" w:hAnsi="Arial" w:cs="Arial"/>
          <w:bCs/>
        </w:rPr>
        <w:t>nejvyšší kvalitativní úroveň</w:t>
      </w:r>
      <w:r w:rsidR="00E808B3">
        <w:rPr>
          <w:rFonts w:ascii="Arial" w:hAnsi="Arial" w:cs="Arial"/>
          <w:bCs/>
        </w:rPr>
        <w:t xml:space="preserve"> a</w:t>
      </w:r>
      <w:r w:rsidRPr="00E808B3">
        <w:rPr>
          <w:rFonts w:ascii="Arial" w:hAnsi="Arial" w:cs="Arial"/>
          <w:bCs/>
        </w:rPr>
        <w:t xml:space="preserve"> známka 1 naopak </w:t>
      </w:r>
      <w:r w:rsidR="00DA1151">
        <w:rPr>
          <w:rFonts w:ascii="Arial" w:hAnsi="Arial" w:cs="Arial"/>
          <w:bCs/>
        </w:rPr>
        <w:t xml:space="preserve">tu </w:t>
      </w:r>
      <w:r w:rsidRPr="00E808B3">
        <w:rPr>
          <w:rFonts w:ascii="Arial" w:hAnsi="Arial" w:cs="Arial"/>
          <w:bCs/>
        </w:rPr>
        <w:t xml:space="preserve">nejnižší. </w:t>
      </w:r>
    </w:p>
    <w:p w14:paraId="0C87812A" w14:textId="77777777" w:rsidR="00DA1151" w:rsidRDefault="00DA1151" w:rsidP="00E808B3">
      <w:pPr>
        <w:spacing w:after="0" w:line="240" w:lineRule="auto"/>
        <w:jc w:val="both"/>
        <w:rPr>
          <w:rFonts w:ascii="Arial" w:hAnsi="Arial" w:cs="Arial"/>
          <w:bCs/>
        </w:rPr>
      </w:pPr>
    </w:p>
    <w:p w14:paraId="0CEC6852" w14:textId="7E44B565" w:rsidR="00DA1151" w:rsidRDefault="00DA1151" w:rsidP="00E808B3">
      <w:pPr>
        <w:spacing w:after="0" w:line="240" w:lineRule="auto"/>
        <w:jc w:val="both"/>
        <w:rPr>
          <w:rFonts w:ascii="Arial" w:hAnsi="Arial" w:cs="Arial"/>
          <w:bCs/>
        </w:rPr>
      </w:pPr>
      <w:r w:rsidRPr="00DA1151">
        <w:rPr>
          <w:rFonts w:ascii="Arial" w:hAnsi="Arial" w:cs="Arial"/>
          <w:bCs/>
        </w:rPr>
        <w:t xml:space="preserve">Velké výzkumné infrastruktury, které by obdržely známku </w:t>
      </w:r>
      <w:r w:rsidRPr="00DA1151">
        <w:rPr>
          <w:rFonts w:ascii="Arial" w:hAnsi="Arial" w:cs="Arial"/>
          <w:b/>
        </w:rPr>
        <w:t>0</w:t>
      </w:r>
      <w:r w:rsidRPr="00DA1151">
        <w:rPr>
          <w:rFonts w:ascii="Arial" w:hAnsi="Arial" w:cs="Arial"/>
          <w:bCs/>
        </w:rPr>
        <w:t xml:space="preserve">, by byly vědně-oborovými panely mezinárodní hodnocení komise shledány za nevyhovující </w:t>
      </w:r>
      <w:r>
        <w:rPr>
          <w:rFonts w:ascii="Arial" w:hAnsi="Arial" w:cs="Arial"/>
          <w:bCs/>
        </w:rPr>
        <w:t xml:space="preserve">ani </w:t>
      </w:r>
      <w:r w:rsidRPr="00DA1151">
        <w:rPr>
          <w:rFonts w:ascii="Arial" w:hAnsi="Arial" w:cs="Arial"/>
          <w:bCs/>
        </w:rPr>
        <w:t>bazálním kvalitativním kritériím velké výzkumné infrastruktury, nicméně žádný z projektů toto hodnocení neobdržel.</w:t>
      </w:r>
    </w:p>
    <w:p w14:paraId="6CF6AC34" w14:textId="77777777" w:rsidR="00DA1151" w:rsidRDefault="00DA1151" w:rsidP="00E808B3">
      <w:pPr>
        <w:spacing w:after="0" w:line="240" w:lineRule="auto"/>
        <w:jc w:val="both"/>
        <w:rPr>
          <w:rFonts w:ascii="Arial" w:hAnsi="Arial" w:cs="Arial"/>
          <w:bCs/>
        </w:rPr>
      </w:pPr>
    </w:p>
    <w:p w14:paraId="4CA9BFE1" w14:textId="41D35076" w:rsidR="003D4CEB" w:rsidRDefault="003F6C55" w:rsidP="00E808B3">
      <w:pPr>
        <w:spacing w:after="0" w:line="240" w:lineRule="auto"/>
        <w:jc w:val="both"/>
        <w:rPr>
          <w:rFonts w:ascii="Arial" w:hAnsi="Arial" w:cs="Arial"/>
          <w:bCs/>
        </w:rPr>
      </w:pPr>
      <w:r w:rsidRPr="00E808B3">
        <w:rPr>
          <w:rFonts w:ascii="Arial" w:hAnsi="Arial" w:cs="Arial"/>
          <w:bCs/>
        </w:rPr>
        <w:t>K</w:t>
      </w:r>
      <w:r w:rsidR="003D4CEB" w:rsidRPr="00E808B3">
        <w:rPr>
          <w:rFonts w:ascii="Arial" w:hAnsi="Arial" w:cs="Arial"/>
          <w:bCs/>
        </w:rPr>
        <w:t xml:space="preserve">onsensuální posudky obsahují </w:t>
      </w:r>
      <w:r w:rsidRPr="00E808B3">
        <w:rPr>
          <w:rFonts w:ascii="Arial" w:hAnsi="Arial" w:cs="Arial"/>
          <w:bCs/>
        </w:rPr>
        <w:t>i</w:t>
      </w:r>
      <w:r w:rsidR="003D4CEB" w:rsidRPr="00E808B3">
        <w:rPr>
          <w:rFonts w:ascii="Arial" w:hAnsi="Arial" w:cs="Arial"/>
          <w:bCs/>
        </w:rPr>
        <w:t xml:space="preserve"> </w:t>
      </w:r>
      <w:r w:rsidRPr="00E808B3">
        <w:rPr>
          <w:rFonts w:ascii="Arial" w:hAnsi="Arial" w:cs="Arial"/>
          <w:bCs/>
        </w:rPr>
        <w:t>podrobné</w:t>
      </w:r>
      <w:r w:rsidR="003D4CEB" w:rsidRPr="00E808B3">
        <w:rPr>
          <w:rFonts w:ascii="Arial" w:hAnsi="Arial" w:cs="Arial"/>
          <w:bCs/>
        </w:rPr>
        <w:t xml:space="preserve"> </w:t>
      </w:r>
      <w:r w:rsidR="003D4CEB" w:rsidRPr="00DA1151">
        <w:rPr>
          <w:rFonts w:ascii="Arial" w:hAnsi="Arial" w:cs="Arial"/>
          <w:b/>
        </w:rPr>
        <w:t>odůvodnění výstupů hodnocení</w:t>
      </w:r>
      <w:r w:rsidR="008931BD" w:rsidRPr="00DA1151">
        <w:rPr>
          <w:rFonts w:ascii="Arial" w:hAnsi="Arial" w:cs="Arial"/>
          <w:b/>
        </w:rPr>
        <w:t xml:space="preserve"> a</w:t>
      </w:r>
      <w:r w:rsidR="003D4CEB" w:rsidRPr="00DA1151">
        <w:rPr>
          <w:rFonts w:ascii="Arial" w:hAnsi="Arial" w:cs="Arial"/>
          <w:b/>
        </w:rPr>
        <w:t xml:space="preserve"> doporučení</w:t>
      </w:r>
      <w:r w:rsidR="003D4CEB" w:rsidRPr="00E808B3">
        <w:rPr>
          <w:rFonts w:ascii="Arial" w:hAnsi="Arial" w:cs="Arial"/>
          <w:bCs/>
        </w:rPr>
        <w:t xml:space="preserve">, jak zvýšit kvalitu </w:t>
      </w:r>
      <w:r w:rsidRPr="00E808B3">
        <w:rPr>
          <w:rFonts w:ascii="Arial" w:hAnsi="Arial" w:cs="Arial"/>
          <w:bCs/>
        </w:rPr>
        <w:t xml:space="preserve">daného </w:t>
      </w:r>
      <w:r w:rsidR="003D4CEB" w:rsidRPr="00E808B3">
        <w:rPr>
          <w:rFonts w:ascii="Arial" w:hAnsi="Arial" w:cs="Arial"/>
          <w:bCs/>
        </w:rPr>
        <w:t>projektu</w:t>
      </w:r>
      <w:r w:rsidR="004C28FA">
        <w:rPr>
          <w:rFonts w:ascii="Arial" w:hAnsi="Arial" w:cs="Arial"/>
          <w:bCs/>
        </w:rPr>
        <w:t xml:space="preserve"> </w:t>
      </w:r>
      <w:r w:rsidR="008B2FD9" w:rsidRPr="00DA1151">
        <w:rPr>
          <w:rFonts w:ascii="Arial" w:hAnsi="Arial" w:cs="Arial"/>
          <w:bCs/>
        </w:rPr>
        <w:t>velké výzkumné infrastruktury</w:t>
      </w:r>
      <w:r w:rsidR="008B2FD9">
        <w:rPr>
          <w:rFonts w:ascii="Arial" w:hAnsi="Arial" w:cs="Arial"/>
          <w:bCs/>
        </w:rPr>
        <w:t xml:space="preserve"> </w:t>
      </w:r>
      <w:r w:rsidR="004C28FA">
        <w:rPr>
          <w:rFonts w:ascii="Arial" w:hAnsi="Arial" w:cs="Arial"/>
          <w:bCs/>
        </w:rPr>
        <w:t>do budoucna.</w:t>
      </w:r>
    </w:p>
    <w:p w14:paraId="626D2895" w14:textId="10BACEB3" w:rsidR="00573BAD" w:rsidRDefault="00573BAD" w:rsidP="00E808B3">
      <w:pPr>
        <w:spacing w:after="0" w:line="240" w:lineRule="auto"/>
        <w:jc w:val="both"/>
        <w:rPr>
          <w:rFonts w:ascii="Arial" w:hAnsi="Arial" w:cs="Arial"/>
          <w:bCs/>
        </w:rPr>
      </w:pPr>
    </w:p>
    <w:p w14:paraId="69985216" w14:textId="782D510D" w:rsidR="00573BAD" w:rsidRPr="00573BAD" w:rsidRDefault="00573BAD" w:rsidP="00E808B3">
      <w:pPr>
        <w:spacing w:after="0" w:line="240" w:lineRule="auto"/>
        <w:jc w:val="both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Tabulka č. 1: I</w:t>
      </w:r>
      <w:r w:rsidRPr="00573BAD">
        <w:rPr>
          <w:rFonts w:ascii="Arial" w:hAnsi="Arial" w:cs="Arial"/>
          <w:b/>
          <w:i/>
          <w:iCs/>
        </w:rPr>
        <w:t xml:space="preserve">nterim </w:t>
      </w:r>
      <w:r>
        <w:rPr>
          <w:rFonts w:ascii="Arial" w:hAnsi="Arial" w:cs="Arial"/>
          <w:b/>
          <w:i/>
          <w:iCs/>
        </w:rPr>
        <w:t>hodnocení</w:t>
      </w:r>
      <w:r w:rsidRPr="00573BAD">
        <w:rPr>
          <w:rFonts w:ascii="Arial" w:hAnsi="Arial" w:cs="Arial"/>
          <w:b/>
          <w:i/>
          <w:iCs/>
        </w:rPr>
        <w:t xml:space="preserve"> velkých výzkumných infrastruktur</w:t>
      </w:r>
    </w:p>
    <w:p w14:paraId="2BE57187" w14:textId="77777777" w:rsidR="00DA1151" w:rsidRPr="00E808B3" w:rsidRDefault="00DA1151" w:rsidP="00E808B3">
      <w:pPr>
        <w:spacing w:after="0" w:line="240" w:lineRule="auto"/>
        <w:jc w:val="both"/>
        <w:rPr>
          <w:rFonts w:ascii="Arial" w:hAnsi="Arial" w:cs="Arial"/>
          <w:bCs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397"/>
        <w:gridCol w:w="1843"/>
        <w:gridCol w:w="1985"/>
        <w:gridCol w:w="1842"/>
      </w:tblGrid>
      <w:tr w:rsidR="003D4CEB" w:rsidRPr="00DC7628" w14:paraId="3056B87A" w14:textId="77777777" w:rsidTr="00376A33">
        <w:tc>
          <w:tcPr>
            <w:tcW w:w="3397" w:type="dxa"/>
            <w:vAlign w:val="center"/>
          </w:tcPr>
          <w:p w14:paraId="775DBDCA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C7628">
              <w:rPr>
                <w:rFonts w:ascii="Arial" w:hAnsi="Arial" w:cs="Arial"/>
                <w:b/>
              </w:rPr>
              <w:t>INTERIM</w:t>
            </w:r>
          </w:p>
        </w:tc>
        <w:tc>
          <w:tcPr>
            <w:tcW w:w="1843" w:type="dxa"/>
            <w:vAlign w:val="center"/>
          </w:tcPr>
          <w:p w14:paraId="6246E2D2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  <w:lang w:val="en-GB"/>
              </w:rPr>
            </w:pPr>
            <w:r w:rsidRPr="00DC7628">
              <w:rPr>
                <w:rFonts w:ascii="Arial" w:hAnsi="Arial" w:cs="Arial"/>
                <w:b/>
                <w:lang w:val="en-GB"/>
              </w:rPr>
              <w:t>5 – Excellent</w:t>
            </w:r>
          </w:p>
        </w:tc>
        <w:tc>
          <w:tcPr>
            <w:tcW w:w="1985" w:type="dxa"/>
            <w:vAlign w:val="center"/>
          </w:tcPr>
          <w:p w14:paraId="5478769E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  <w:lang w:val="en-GB"/>
              </w:rPr>
            </w:pPr>
            <w:r w:rsidRPr="00DC7628">
              <w:rPr>
                <w:rFonts w:ascii="Arial" w:hAnsi="Arial" w:cs="Arial"/>
                <w:b/>
                <w:lang w:val="en-GB"/>
              </w:rPr>
              <w:t xml:space="preserve">4 – </w:t>
            </w:r>
            <w:r>
              <w:rPr>
                <w:rFonts w:ascii="Arial" w:hAnsi="Arial" w:cs="Arial"/>
                <w:b/>
                <w:lang w:val="en-GB"/>
              </w:rPr>
              <w:t>High</w:t>
            </w:r>
          </w:p>
        </w:tc>
        <w:tc>
          <w:tcPr>
            <w:tcW w:w="1842" w:type="dxa"/>
            <w:vAlign w:val="center"/>
          </w:tcPr>
          <w:p w14:paraId="2C6B6D8E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  <w:lang w:val="en-GB"/>
              </w:rPr>
            </w:pPr>
            <w:r w:rsidRPr="00DC7628">
              <w:rPr>
                <w:rFonts w:ascii="Arial" w:hAnsi="Arial" w:cs="Arial"/>
                <w:b/>
                <w:lang w:val="en-GB"/>
              </w:rPr>
              <w:t>3 – Good</w:t>
            </w:r>
          </w:p>
        </w:tc>
      </w:tr>
      <w:tr w:rsidR="003D4CEB" w:rsidRPr="00DC7628" w14:paraId="5741CC6C" w14:textId="77777777" w:rsidTr="00376A33">
        <w:tc>
          <w:tcPr>
            <w:tcW w:w="3397" w:type="dxa"/>
            <w:vAlign w:val="center"/>
          </w:tcPr>
          <w:p w14:paraId="09EFFCA3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Fyzikální vědy a inženýrství</w:t>
            </w:r>
          </w:p>
        </w:tc>
        <w:tc>
          <w:tcPr>
            <w:tcW w:w="1843" w:type="dxa"/>
            <w:vAlign w:val="center"/>
          </w:tcPr>
          <w:p w14:paraId="56BBA44C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6 projektů</w:t>
            </w:r>
          </w:p>
        </w:tc>
        <w:tc>
          <w:tcPr>
            <w:tcW w:w="1985" w:type="dxa"/>
            <w:vAlign w:val="center"/>
          </w:tcPr>
          <w:p w14:paraId="779AE274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11 projektů</w:t>
            </w:r>
          </w:p>
        </w:tc>
        <w:tc>
          <w:tcPr>
            <w:tcW w:w="1842" w:type="dxa"/>
            <w:vAlign w:val="center"/>
          </w:tcPr>
          <w:p w14:paraId="0BEE7D19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1 projekt</w:t>
            </w:r>
          </w:p>
        </w:tc>
      </w:tr>
      <w:tr w:rsidR="003D4CEB" w:rsidRPr="00DC7628" w14:paraId="6C12714A" w14:textId="77777777" w:rsidTr="00376A33">
        <w:tc>
          <w:tcPr>
            <w:tcW w:w="3397" w:type="dxa"/>
            <w:vAlign w:val="center"/>
          </w:tcPr>
          <w:p w14:paraId="124C28BF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Energetika</w:t>
            </w:r>
          </w:p>
        </w:tc>
        <w:tc>
          <w:tcPr>
            <w:tcW w:w="1843" w:type="dxa"/>
            <w:vAlign w:val="center"/>
          </w:tcPr>
          <w:p w14:paraId="0EC3F53E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3 projekty</w:t>
            </w:r>
          </w:p>
        </w:tc>
        <w:tc>
          <w:tcPr>
            <w:tcW w:w="1985" w:type="dxa"/>
            <w:vAlign w:val="center"/>
          </w:tcPr>
          <w:p w14:paraId="0EA3F470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2 projekty</w:t>
            </w:r>
          </w:p>
        </w:tc>
        <w:tc>
          <w:tcPr>
            <w:tcW w:w="1842" w:type="dxa"/>
            <w:vAlign w:val="center"/>
          </w:tcPr>
          <w:p w14:paraId="42E526E8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</w:tr>
      <w:tr w:rsidR="003D4CEB" w:rsidRPr="00DC7628" w14:paraId="54BF2A73" w14:textId="77777777" w:rsidTr="00376A33">
        <w:tc>
          <w:tcPr>
            <w:tcW w:w="3397" w:type="dxa"/>
            <w:vAlign w:val="center"/>
          </w:tcPr>
          <w:p w14:paraId="1A910A03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Environmentální vědy</w:t>
            </w:r>
          </w:p>
        </w:tc>
        <w:tc>
          <w:tcPr>
            <w:tcW w:w="1843" w:type="dxa"/>
            <w:vAlign w:val="center"/>
          </w:tcPr>
          <w:p w14:paraId="4939DEBE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3 projekty</w:t>
            </w:r>
          </w:p>
        </w:tc>
        <w:tc>
          <w:tcPr>
            <w:tcW w:w="1985" w:type="dxa"/>
            <w:vAlign w:val="center"/>
          </w:tcPr>
          <w:p w14:paraId="4C230E11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2 projekty</w:t>
            </w:r>
          </w:p>
        </w:tc>
        <w:tc>
          <w:tcPr>
            <w:tcW w:w="1842" w:type="dxa"/>
            <w:vAlign w:val="center"/>
          </w:tcPr>
          <w:p w14:paraId="77DF835B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</w:tr>
      <w:tr w:rsidR="003D4CEB" w:rsidRPr="00DC7628" w14:paraId="3171D3A5" w14:textId="77777777" w:rsidTr="00376A33">
        <w:tc>
          <w:tcPr>
            <w:tcW w:w="3397" w:type="dxa"/>
            <w:vAlign w:val="center"/>
          </w:tcPr>
          <w:p w14:paraId="44CC694D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Zdraví a potraviny</w:t>
            </w:r>
          </w:p>
        </w:tc>
        <w:tc>
          <w:tcPr>
            <w:tcW w:w="1843" w:type="dxa"/>
            <w:vAlign w:val="center"/>
          </w:tcPr>
          <w:p w14:paraId="70F07B8C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7 projektů</w:t>
            </w:r>
          </w:p>
        </w:tc>
        <w:tc>
          <w:tcPr>
            <w:tcW w:w="1985" w:type="dxa"/>
            <w:vAlign w:val="center"/>
          </w:tcPr>
          <w:p w14:paraId="54C09C20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3 projekty</w:t>
            </w:r>
          </w:p>
        </w:tc>
        <w:tc>
          <w:tcPr>
            <w:tcW w:w="1842" w:type="dxa"/>
            <w:vAlign w:val="center"/>
          </w:tcPr>
          <w:p w14:paraId="7C32519C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</w:tr>
      <w:tr w:rsidR="003D4CEB" w:rsidRPr="00DC7628" w14:paraId="287700F5" w14:textId="77777777" w:rsidTr="00376A33">
        <w:tc>
          <w:tcPr>
            <w:tcW w:w="3397" w:type="dxa"/>
            <w:vAlign w:val="center"/>
          </w:tcPr>
          <w:p w14:paraId="76D13216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Sociální a humanitní vědy</w:t>
            </w:r>
          </w:p>
        </w:tc>
        <w:tc>
          <w:tcPr>
            <w:tcW w:w="1843" w:type="dxa"/>
            <w:vAlign w:val="center"/>
          </w:tcPr>
          <w:p w14:paraId="527B6B54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4 projekty</w:t>
            </w:r>
          </w:p>
        </w:tc>
        <w:tc>
          <w:tcPr>
            <w:tcW w:w="1985" w:type="dxa"/>
            <w:vAlign w:val="center"/>
          </w:tcPr>
          <w:p w14:paraId="63D160BC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2 projekty</w:t>
            </w:r>
          </w:p>
        </w:tc>
        <w:tc>
          <w:tcPr>
            <w:tcW w:w="1842" w:type="dxa"/>
            <w:vAlign w:val="center"/>
          </w:tcPr>
          <w:p w14:paraId="727909B9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</w:tr>
      <w:tr w:rsidR="003D4CEB" w:rsidRPr="00DC7628" w14:paraId="6EF13245" w14:textId="77777777" w:rsidTr="00376A33">
        <w:tc>
          <w:tcPr>
            <w:tcW w:w="3397" w:type="dxa"/>
            <w:vAlign w:val="center"/>
          </w:tcPr>
          <w:p w14:paraId="786C8F7E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e-Infrastruktury</w:t>
            </w:r>
          </w:p>
        </w:tc>
        <w:tc>
          <w:tcPr>
            <w:tcW w:w="1843" w:type="dxa"/>
            <w:vAlign w:val="center"/>
          </w:tcPr>
          <w:p w14:paraId="77C9C277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1 projekt</w:t>
            </w:r>
          </w:p>
        </w:tc>
        <w:tc>
          <w:tcPr>
            <w:tcW w:w="1985" w:type="dxa"/>
            <w:vAlign w:val="center"/>
          </w:tcPr>
          <w:p w14:paraId="12364C70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  <w:tc>
          <w:tcPr>
            <w:tcW w:w="1842" w:type="dxa"/>
            <w:vAlign w:val="center"/>
          </w:tcPr>
          <w:p w14:paraId="481F2C3E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</w:tr>
      <w:tr w:rsidR="003D4CEB" w:rsidRPr="00DC7628" w14:paraId="5D55FE05" w14:textId="77777777" w:rsidTr="00376A33">
        <w:tc>
          <w:tcPr>
            <w:tcW w:w="3397" w:type="dxa"/>
            <w:vAlign w:val="center"/>
          </w:tcPr>
          <w:p w14:paraId="3622628D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C7628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1843" w:type="dxa"/>
            <w:vAlign w:val="center"/>
          </w:tcPr>
          <w:p w14:paraId="602B7AD6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C7628">
              <w:rPr>
                <w:rFonts w:ascii="Arial" w:hAnsi="Arial" w:cs="Arial"/>
                <w:b/>
              </w:rPr>
              <w:t>24 projektů</w:t>
            </w:r>
          </w:p>
        </w:tc>
        <w:tc>
          <w:tcPr>
            <w:tcW w:w="1985" w:type="dxa"/>
            <w:vAlign w:val="center"/>
          </w:tcPr>
          <w:p w14:paraId="7F1445BF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C7628">
              <w:rPr>
                <w:rFonts w:ascii="Arial" w:hAnsi="Arial" w:cs="Arial"/>
                <w:b/>
              </w:rPr>
              <w:t>20 projektů</w:t>
            </w:r>
          </w:p>
        </w:tc>
        <w:tc>
          <w:tcPr>
            <w:tcW w:w="1842" w:type="dxa"/>
            <w:vAlign w:val="center"/>
          </w:tcPr>
          <w:p w14:paraId="47C4A0B4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C7628">
              <w:rPr>
                <w:rFonts w:ascii="Arial" w:hAnsi="Arial" w:cs="Arial"/>
                <w:b/>
              </w:rPr>
              <w:t>1 projekt</w:t>
            </w:r>
          </w:p>
        </w:tc>
      </w:tr>
    </w:tbl>
    <w:p w14:paraId="09E41B7E" w14:textId="4D7E4650" w:rsidR="00DA1151" w:rsidRDefault="00DA1151" w:rsidP="00573BAD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005C4462" w14:textId="77777777" w:rsidR="00C81FE5" w:rsidRPr="00573BAD" w:rsidRDefault="00C81FE5" w:rsidP="00573BAD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39DD0C6D" w14:textId="52916BA8" w:rsidR="00573BAD" w:rsidRDefault="00573BAD" w:rsidP="00573BAD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662BA484" w14:textId="39E2617D" w:rsidR="00573BAD" w:rsidRPr="00573BAD" w:rsidRDefault="00573BAD" w:rsidP="00573BAD">
      <w:pPr>
        <w:spacing w:after="0" w:line="240" w:lineRule="auto"/>
        <w:jc w:val="both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Tabulka č. 2: Ex-ante</w:t>
      </w:r>
      <w:r w:rsidRPr="00573BAD">
        <w:rPr>
          <w:rFonts w:ascii="Arial" w:hAnsi="Arial" w:cs="Arial"/>
          <w:b/>
          <w:i/>
          <w:iCs/>
        </w:rPr>
        <w:t xml:space="preserve"> </w:t>
      </w:r>
      <w:r>
        <w:rPr>
          <w:rFonts w:ascii="Arial" w:hAnsi="Arial" w:cs="Arial"/>
          <w:b/>
          <w:i/>
          <w:iCs/>
        </w:rPr>
        <w:t>hodnocení</w:t>
      </w:r>
      <w:r w:rsidRPr="00573BAD">
        <w:rPr>
          <w:rFonts w:ascii="Arial" w:hAnsi="Arial" w:cs="Arial"/>
          <w:b/>
          <w:i/>
          <w:iCs/>
        </w:rPr>
        <w:t xml:space="preserve"> </w:t>
      </w:r>
      <w:r>
        <w:rPr>
          <w:rFonts w:ascii="Arial" w:hAnsi="Arial" w:cs="Arial"/>
          <w:b/>
          <w:i/>
          <w:iCs/>
        </w:rPr>
        <w:t xml:space="preserve">nových návrhů </w:t>
      </w:r>
      <w:r w:rsidRPr="00573BAD">
        <w:rPr>
          <w:rFonts w:ascii="Arial" w:hAnsi="Arial" w:cs="Arial"/>
          <w:b/>
          <w:i/>
          <w:iCs/>
        </w:rPr>
        <w:t>velkých výzkumných infrastruktur</w:t>
      </w:r>
    </w:p>
    <w:p w14:paraId="5BA9758D" w14:textId="77777777" w:rsidR="00573BAD" w:rsidRPr="00573BAD" w:rsidRDefault="00573BAD" w:rsidP="00573BAD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397"/>
        <w:gridCol w:w="1843"/>
        <w:gridCol w:w="1985"/>
        <w:gridCol w:w="1842"/>
      </w:tblGrid>
      <w:tr w:rsidR="003D4CEB" w:rsidRPr="00DC7628" w14:paraId="0F19A74B" w14:textId="77777777" w:rsidTr="00376A33">
        <w:tc>
          <w:tcPr>
            <w:tcW w:w="3397" w:type="dxa"/>
            <w:vAlign w:val="center"/>
          </w:tcPr>
          <w:p w14:paraId="2FB5C401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C7628">
              <w:rPr>
                <w:rFonts w:ascii="Arial" w:hAnsi="Arial" w:cs="Arial"/>
                <w:b/>
              </w:rPr>
              <w:t>EX-ANTE</w:t>
            </w:r>
          </w:p>
        </w:tc>
        <w:tc>
          <w:tcPr>
            <w:tcW w:w="1843" w:type="dxa"/>
            <w:vAlign w:val="center"/>
          </w:tcPr>
          <w:p w14:paraId="6B2D1927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  <w:lang w:val="en-GB"/>
              </w:rPr>
            </w:pPr>
            <w:r w:rsidRPr="00DC7628">
              <w:rPr>
                <w:rFonts w:ascii="Arial" w:hAnsi="Arial" w:cs="Arial"/>
                <w:b/>
                <w:lang w:val="en-GB"/>
              </w:rPr>
              <w:t>5 – Excellent</w:t>
            </w:r>
          </w:p>
        </w:tc>
        <w:tc>
          <w:tcPr>
            <w:tcW w:w="1985" w:type="dxa"/>
            <w:vAlign w:val="center"/>
          </w:tcPr>
          <w:p w14:paraId="3C2ACF40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  <w:lang w:val="en-GB"/>
              </w:rPr>
            </w:pPr>
            <w:r w:rsidRPr="00DC7628">
              <w:rPr>
                <w:rFonts w:ascii="Arial" w:hAnsi="Arial" w:cs="Arial"/>
                <w:b/>
                <w:lang w:val="en-GB"/>
              </w:rPr>
              <w:t xml:space="preserve">4 – </w:t>
            </w:r>
            <w:r>
              <w:rPr>
                <w:rFonts w:ascii="Arial" w:hAnsi="Arial" w:cs="Arial"/>
                <w:b/>
                <w:lang w:val="en-GB"/>
              </w:rPr>
              <w:t>High</w:t>
            </w:r>
          </w:p>
        </w:tc>
        <w:tc>
          <w:tcPr>
            <w:tcW w:w="1842" w:type="dxa"/>
            <w:vAlign w:val="center"/>
          </w:tcPr>
          <w:p w14:paraId="515D9B3F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  <w:lang w:val="en-GB"/>
              </w:rPr>
            </w:pPr>
            <w:r w:rsidRPr="00DC7628">
              <w:rPr>
                <w:rFonts w:ascii="Arial" w:hAnsi="Arial" w:cs="Arial"/>
                <w:b/>
                <w:lang w:val="en-GB"/>
              </w:rPr>
              <w:t>3 – Good</w:t>
            </w:r>
          </w:p>
        </w:tc>
      </w:tr>
      <w:tr w:rsidR="003D4CEB" w:rsidRPr="00DC7628" w14:paraId="0BAD2C45" w14:textId="77777777" w:rsidTr="00376A33">
        <w:tc>
          <w:tcPr>
            <w:tcW w:w="3397" w:type="dxa"/>
            <w:vAlign w:val="center"/>
          </w:tcPr>
          <w:p w14:paraId="66338ED5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Fyzikální vědy a inženýrství</w:t>
            </w:r>
          </w:p>
        </w:tc>
        <w:tc>
          <w:tcPr>
            <w:tcW w:w="1843" w:type="dxa"/>
            <w:vAlign w:val="center"/>
          </w:tcPr>
          <w:p w14:paraId="62FB701F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  <w:tc>
          <w:tcPr>
            <w:tcW w:w="1985" w:type="dxa"/>
            <w:vAlign w:val="center"/>
          </w:tcPr>
          <w:p w14:paraId="630940EF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3 projekty</w:t>
            </w:r>
          </w:p>
        </w:tc>
        <w:tc>
          <w:tcPr>
            <w:tcW w:w="1842" w:type="dxa"/>
            <w:vAlign w:val="center"/>
          </w:tcPr>
          <w:p w14:paraId="750CEB56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2 projekty</w:t>
            </w:r>
          </w:p>
        </w:tc>
      </w:tr>
      <w:tr w:rsidR="003D4CEB" w:rsidRPr="00DC7628" w14:paraId="556DAB9B" w14:textId="77777777" w:rsidTr="00376A33">
        <w:tc>
          <w:tcPr>
            <w:tcW w:w="3397" w:type="dxa"/>
            <w:vAlign w:val="center"/>
          </w:tcPr>
          <w:p w14:paraId="0D880772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Energetika</w:t>
            </w:r>
          </w:p>
        </w:tc>
        <w:tc>
          <w:tcPr>
            <w:tcW w:w="1843" w:type="dxa"/>
            <w:vAlign w:val="center"/>
          </w:tcPr>
          <w:p w14:paraId="3692529E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  <w:tc>
          <w:tcPr>
            <w:tcW w:w="1985" w:type="dxa"/>
            <w:vAlign w:val="center"/>
          </w:tcPr>
          <w:p w14:paraId="267845B3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  <w:tc>
          <w:tcPr>
            <w:tcW w:w="1842" w:type="dxa"/>
            <w:vAlign w:val="center"/>
          </w:tcPr>
          <w:p w14:paraId="6F16B6BF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2 projekty</w:t>
            </w:r>
          </w:p>
        </w:tc>
      </w:tr>
      <w:tr w:rsidR="003D4CEB" w:rsidRPr="00DC7628" w14:paraId="42232F59" w14:textId="77777777" w:rsidTr="00376A33">
        <w:tc>
          <w:tcPr>
            <w:tcW w:w="3397" w:type="dxa"/>
            <w:vAlign w:val="center"/>
          </w:tcPr>
          <w:p w14:paraId="6B5D3AA3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Environmentální vědy</w:t>
            </w:r>
          </w:p>
        </w:tc>
        <w:tc>
          <w:tcPr>
            <w:tcW w:w="1843" w:type="dxa"/>
            <w:vAlign w:val="center"/>
          </w:tcPr>
          <w:p w14:paraId="729F7D8B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  <w:tc>
          <w:tcPr>
            <w:tcW w:w="1985" w:type="dxa"/>
            <w:vAlign w:val="center"/>
          </w:tcPr>
          <w:p w14:paraId="6BA020EC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2 projekty</w:t>
            </w:r>
          </w:p>
        </w:tc>
        <w:tc>
          <w:tcPr>
            <w:tcW w:w="1842" w:type="dxa"/>
            <w:vAlign w:val="center"/>
          </w:tcPr>
          <w:p w14:paraId="791BFF6F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</w:tr>
      <w:tr w:rsidR="003D4CEB" w:rsidRPr="00DC7628" w14:paraId="5837F20C" w14:textId="77777777" w:rsidTr="00376A33">
        <w:tc>
          <w:tcPr>
            <w:tcW w:w="3397" w:type="dxa"/>
            <w:vAlign w:val="center"/>
          </w:tcPr>
          <w:p w14:paraId="5ADC4412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Zdraví a potraviny</w:t>
            </w:r>
          </w:p>
        </w:tc>
        <w:tc>
          <w:tcPr>
            <w:tcW w:w="1843" w:type="dxa"/>
            <w:vAlign w:val="center"/>
          </w:tcPr>
          <w:p w14:paraId="4F2C3F1B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  <w:tc>
          <w:tcPr>
            <w:tcW w:w="1985" w:type="dxa"/>
            <w:vAlign w:val="center"/>
          </w:tcPr>
          <w:p w14:paraId="6F7DBD1B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1 projekt</w:t>
            </w:r>
          </w:p>
        </w:tc>
        <w:tc>
          <w:tcPr>
            <w:tcW w:w="1842" w:type="dxa"/>
            <w:vAlign w:val="center"/>
          </w:tcPr>
          <w:p w14:paraId="45CCADE5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</w:tr>
      <w:tr w:rsidR="003D4CEB" w:rsidRPr="00DC7628" w14:paraId="000540C3" w14:textId="77777777" w:rsidTr="00376A33">
        <w:tc>
          <w:tcPr>
            <w:tcW w:w="3397" w:type="dxa"/>
            <w:vAlign w:val="center"/>
          </w:tcPr>
          <w:p w14:paraId="754D979D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Sociální a humanitní vědy</w:t>
            </w:r>
          </w:p>
        </w:tc>
        <w:tc>
          <w:tcPr>
            <w:tcW w:w="1843" w:type="dxa"/>
            <w:vAlign w:val="center"/>
          </w:tcPr>
          <w:p w14:paraId="3CBE5965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1 projekt</w:t>
            </w:r>
          </w:p>
        </w:tc>
        <w:tc>
          <w:tcPr>
            <w:tcW w:w="1985" w:type="dxa"/>
            <w:vAlign w:val="center"/>
          </w:tcPr>
          <w:p w14:paraId="6D785F2A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  <w:tc>
          <w:tcPr>
            <w:tcW w:w="1842" w:type="dxa"/>
            <w:vAlign w:val="center"/>
          </w:tcPr>
          <w:p w14:paraId="3DE7C88B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1 projekt</w:t>
            </w:r>
          </w:p>
        </w:tc>
      </w:tr>
      <w:tr w:rsidR="003D4CEB" w:rsidRPr="00DC7628" w14:paraId="0FFF4B58" w14:textId="77777777" w:rsidTr="00376A33">
        <w:tc>
          <w:tcPr>
            <w:tcW w:w="3397" w:type="dxa"/>
            <w:vAlign w:val="center"/>
          </w:tcPr>
          <w:p w14:paraId="64921828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e-Infrastruktury</w:t>
            </w:r>
          </w:p>
        </w:tc>
        <w:tc>
          <w:tcPr>
            <w:tcW w:w="1843" w:type="dxa"/>
            <w:vAlign w:val="center"/>
          </w:tcPr>
          <w:p w14:paraId="53B5B3E3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  <w:tc>
          <w:tcPr>
            <w:tcW w:w="1985" w:type="dxa"/>
            <w:vAlign w:val="center"/>
          </w:tcPr>
          <w:p w14:paraId="7CC2EEBE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  <w:tc>
          <w:tcPr>
            <w:tcW w:w="1842" w:type="dxa"/>
            <w:vAlign w:val="center"/>
          </w:tcPr>
          <w:p w14:paraId="5D4DE2B6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C7628">
              <w:rPr>
                <w:rFonts w:ascii="Arial" w:hAnsi="Arial" w:cs="Arial"/>
              </w:rPr>
              <w:t>X</w:t>
            </w:r>
          </w:p>
        </w:tc>
      </w:tr>
      <w:tr w:rsidR="003D4CEB" w:rsidRPr="00DC7628" w14:paraId="51672B1D" w14:textId="77777777" w:rsidTr="00376A33">
        <w:tc>
          <w:tcPr>
            <w:tcW w:w="3397" w:type="dxa"/>
            <w:vAlign w:val="center"/>
          </w:tcPr>
          <w:p w14:paraId="4FFA1FAC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C7628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1843" w:type="dxa"/>
            <w:vAlign w:val="center"/>
          </w:tcPr>
          <w:p w14:paraId="499DE5DF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C7628">
              <w:rPr>
                <w:rFonts w:ascii="Arial" w:hAnsi="Arial" w:cs="Arial"/>
                <w:b/>
              </w:rPr>
              <w:t>1 projekt</w:t>
            </w:r>
          </w:p>
        </w:tc>
        <w:tc>
          <w:tcPr>
            <w:tcW w:w="1985" w:type="dxa"/>
            <w:vAlign w:val="center"/>
          </w:tcPr>
          <w:p w14:paraId="4988746D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C7628">
              <w:rPr>
                <w:rFonts w:ascii="Arial" w:hAnsi="Arial" w:cs="Arial"/>
                <w:b/>
              </w:rPr>
              <w:t>6 projektů</w:t>
            </w:r>
          </w:p>
        </w:tc>
        <w:tc>
          <w:tcPr>
            <w:tcW w:w="1842" w:type="dxa"/>
            <w:vAlign w:val="center"/>
          </w:tcPr>
          <w:p w14:paraId="12E76054" w14:textId="77777777" w:rsidR="003D4CEB" w:rsidRPr="00DC7628" w:rsidRDefault="003D4CEB" w:rsidP="00376A3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C7628">
              <w:rPr>
                <w:rFonts w:ascii="Arial" w:hAnsi="Arial" w:cs="Arial"/>
                <w:b/>
              </w:rPr>
              <w:t>5 projektů</w:t>
            </w:r>
          </w:p>
        </w:tc>
      </w:tr>
    </w:tbl>
    <w:p w14:paraId="52E0374A" w14:textId="3CC2C117" w:rsidR="008931BD" w:rsidRDefault="008931BD" w:rsidP="00660EDD">
      <w:pPr>
        <w:spacing w:after="0" w:line="240" w:lineRule="auto"/>
        <w:jc w:val="both"/>
        <w:rPr>
          <w:rFonts w:ascii="Arial" w:hAnsi="Arial" w:cs="Arial"/>
          <w:bCs/>
        </w:rPr>
      </w:pPr>
    </w:p>
    <w:p w14:paraId="344A4095" w14:textId="34693C82" w:rsidR="003D4CEB" w:rsidRDefault="00963230" w:rsidP="00660EDD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Mezinárodní</w:t>
      </w:r>
      <w:r w:rsidRPr="00A1052E">
        <w:rPr>
          <w:rFonts w:ascii="Arial" w:hAnsi="Arial" w:cs="Arial"/>
          <w:bCs/>
        </w:rPr>
        <w:t xml:space="preserve"> hodnocení velkých výzkumných infrastruktur </w:t>
      </w:r>
      <w:r>
        <w:rPr>
          <w:rFonts w:ascii="Arial" w:hAnsi="Arial" w:cs="Arial"/>
          <w:bCs/>
        </w:rPr>
        <w:t xml:space="preserve">uspořádané MŠMT v roce 2021 bylo </w:t>
      </w:r>
      <w:r w:rsidRPr="00963230">
        <w:rPr>
          <w:rFonts w:ascii="Arial" w:hAnsi="Arial" w:cs="Arial"/>
          <w:b/>
          <w:bCs/>
        </w:rPr>
        <w:t>3. cyklem mezinárodní evaluace tohoto druhu</w:t>
      </w:r>
      <w:r>
        <w:rPr>
          <w:rFonts w:ascii="Arial" w:hAnsi="Arial" w:cs="Arial"/>
          <w:bCs/>
        </w:rPr>
        <w:t xml:space="preserve">. </w:t>
      </w:r>
      <w:r w:rsidR="00426E26">
        <w:rPr>
          <w:rFonts w:ascii="Arial" w:hAnsi="Arial" w:cs="Arial"/>
          <w:bCs/>
        </w:rPr>
        <w:t>Dřívější</w:t>
      </w:r>
      <w:r>
        <w:rPr>
          <w:rFonts w:ascii="Arial" w:hAnsi="Arial" w:cs="Arial"/>
          <w:bCs/>
        </w:rPr>
        <w:t xml:space="preserve"> cykly proběhly v letech 2014 a 2017 a přinesly nezávislé odborné podklady pro přijetí informovaných a na důkazech postavených politických rozhodnutí vlády ČR o financování velkých výzkumných infrastruktur z prostředků účelové podpory MŠMT v letech 2016</w:t>
      </w:r>
      <w:r w:rsidR="008655C9">
        <w:rPr>
          <w:rFonts w:ascii="Arial" w:hAnsi="Arial" w:cs="Arial"/>
          <w:bCs/>
        </w:rPr>
        <w:t>–</w:t>
      </w:r>
      <w:r>
        <w:rPr>
          <w:rFonts w:ascii="Arial" w:hAnsi="Arial" w:cs="Arial"/>
          <w:bCs/>
        </w:rPr>
        <w:t>2022.</w:t>
      </w:r>
    </w:p>
    <w:p w14:paraId="45EA0BBF" w14:textId="77777777" w:rsidR="00AA0564" w:rsidRDefault="00AA0564" w:rsidP="00AA0564">
      <w:pPr>
        <w:spacing w:after="0" w:line="240" w:lineRule="auto"/>
        <w:jc w:val="both"/>
        <w:rPr>
          <w:rFonts w:ascii="Arial" w:hAnsi="Arial" w:cs="Arial"/>
          <w:bCs/>
        </w:rPr>
      </w:pPr>
    </w:p>
    <w:p w14:paraId="3ED1821E" w14:textId="7F1A9CAB" w:rsidR="00AA0564" w:rsidRPr="00AF0A88" w:rsidRDefault="00AA0564" w:rsidP="00AA056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caps/>
          <w:u w:val="single"/>
        </w:rPr>
      </w:pPr>
      <w:r>
        <w:rPr>
          <w:rFonts w:ascii="Arial" w:eastAsia="Calibri" w:hAnsi="Arial" w:cs="Arial"/>
          <w:b/>
          <w:caps/>
          <w:u w:val="single"/>
        </w:rPr>
        <w:t>ANALÝZA SOCIOEKONOMICKÝCH PŘÍNOSŮ A DOPADŮ VELKÝCH VÝZKUMNÝCH INFRASTRUKTUR</w:t>
      </w:r>
    </w:p>
    <w:p w14:paraId="067989AD" w14:textId="77777777" w:rsidR="00AA0564" w:rsidRDefault="00AA0564" w:rsidP="00AA0564">
      <w:pPr>
        <w:spacing w:after="0" w:line="240" w:lineRule="auto"/>
        <w:jc w:val="both"/>
        <w:rPr>
          <w:rFonts w:ascii="Arial" w:eastAsia="Calibri" w:hAnsi="Arial" w:cs="Arial"/>
        </w:rPr>
      </w:pPr>
    </w:p>
    <w:p w14:paraId="2FC77D44" w14:textId="09CA7C80" w:rsidR="00573BAD" w:rsidRDefault="00AA0564" w:rsidP="00660EDD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Kromě periodického mezinárodního hodnocení velkých výzkumných infrastruktur byla v roce 2021 </w:t>
      </w:r>
      <w:r w:rsidR="00D3639D">
        <w:rPr>
          <w:rFonts w:ascii="Arial" w:hAnsi="Arial" w:cs="Arial"/>
          <w:bCs/>
        </w:rPr>
        <w:t>vypracována</w:t>
      </w:r>
      <w:r w:rsidR="00EB5375">
        <w:rPr>
          <w:rFonts w:ascii="Arial" w:hAnsi="Arial" w:cs="Arial"/>
          <w:bCs/>
        </w:rPr>
        <w:t xml:space="preserve"> i</w:t>
      </w:r>
      <w:r w:rsidR="00EF7FE5">
        <w:rPr>
          <w:rFonts w:ascii="Arial" w:hAnsi="Arial" w:cs="Arial"/>
          <w:bCs/>
        </w:rPr>
        <w:t xml:space="preserve"> </w:t>
      </w:r>
      <w:hyperlink r:id="rId17" w:history="1">
        <w:r w:rsidRPr="00EF7FE5">
          <w:rPr>
            <w:rStyle w:val="Hypertextovodkaz"/>
            <w:rFonts w:ascii="Arial" w:hAnsi="Arial" w:cs="Arial"/>
            <w:b/>
            <w:color w:val="0070C0"/>
          </w:rPr>
          <w:t>analýza socioekonomických přínosů a dopadů velkých výzkumných infrastruktur</w:t>
        </w:r>
      </w:hyperlink>
      <w:r>
        <w:rPr>
          <w:rFonts w:ascii="Arial" w:hAnsi="Arial" w:cs="Arial"/>
          <w:bCs/>
        </w:rPr>
        <w:t xml:space="preserve">. Analýza byla </w:t>
      </w:r>
      <w:r w:rsidR="00D3639D">
        <w:rPr>
          <w:rFonts w:ascii="Arial" w:hAnsi="Arial" w:cs="Arial"/>
          <w:bCs/>
        </w:rPr>
        <w:t>připravena</w:t>
      </w:r>
      <w:r>
        <w:rPr>
          <w:rFonts w:ascii="Arial" w:hAnsi="Arial" w:cs="Arial"/>
          <w:bCs/>
        </w:rPr>
        <w:t xml:space="preserve"> jako součást implementace </w:t>
      </w:r>
      <w:r w:rsidRPr="00AA0564">
        <w:rPr>
          <w:rFonts w:ascii="Arial" w:hAnsi="Arial" w:cs="Arial"/>
          <w:bCs/>
        </w:rPr>
        <w:t xml:space="preserve">projektu sdílených činností </w:t>
      </w:r>
      <w:r w:rsidR="00D3639D">
        <w:rPr>
          <w:rFonts w:ascii="Arial" w:hAnsi="Arial" w:cs="Arial"/>
          <w:bCs/>
        </w:rPr>
        <w:t xml:space="preserve">s názvem </w:t>
      </w:r>
      <w:r w:rsidR="00EB5375">
        <w:rPr>
          <w:rFonts w:ascii="Arial" w:hAnsi="Arial" w:cs="Arial"/>
          <w:bCs/>
        </w:rPr>
        <w:t>„</w:t>
      </w:r>
      <w:r w:rsidRPr="00AA0564">
        <w:rPr>
          <w:rFonts w:ascii="Arial" w:hAnsi="Arial" w:cs="Arial"/>
          <w:bCs/>
          <w:i/>
          <w:iCs/>
        </w:rPr>
        <w:t>Strategická inteligence pro výzkum a inovace</w:t>
      </w:r>
      <w:r w:rsidRPr="00AA0564">
        <w:rPr>
          <w:rFonts w:ascii="Arial" w:hAnsi="Arial" w:cs="Arial"/>
          <w:bCs/>
        </w:rPr>
        <w:t xml:space="preserve"> (STRATIN+)</w:t>
      </w:r>
      <w:r w:rsidR="00EB5375">
        <w:rPr>
          <w:rFonts w:ascii="Arial" w:hAnsi="Arial" w:cs="Arial"/>
          <w:bCs/>
        </w:rPr>
        <w:t>“, a to</w:t>
      </w:r>
      <w:r>
        <w:rPr>
          <w:rFonts w:ascii="Arial" w:hAnsi="Arial" w:cs="Arial"/>
          <w:bCs/>
        </w:rPr>
        <w:t xml:space="preserve"> </w:t>
      </w:r>
      <w:r w:rsidRPr="0023611F">
        <w:rPr>
          <w:rFonts w:ascii="Arial" w:hAnsi="Arial" w:cs="Arial"/>
          <w:b/>
        </w:rPr>
        <w:t>Technologick</w:t>
      </w:r>
      <w:r w:rsidR="00D3639D" w:rsidRPr="0023611F">
        <w:rPr>
          <w:rFonts w:ascii="Arial" w:hAnsi="Arial" w:cs="Arial"/>
          <w:b/>
        </w:rPr>
        <w:t>ým</w:t>
      </w:r>
      <w:r w:rsidRPr="0023611F">
        <w:rPr>
          <w:rFonts w:ascii="Arial" w:hAnsi="Arial" w:cs="Arial"/>
          <w:b/>
        </w:rPr>
        <w:t xml:space="preserve"> centr</w:t>
      </w:r>
      <w:r w:rsidR="00D3639D" w:rsidRPr="0023611F">
        <w:rPr>
          <w:rFonts w:ascii="Arial" w:hAnsi="Arial" w:cs="Arial"/>
          <w:b/>
        </w:rPr>
        <w:t>em</w:t>
      </w:r>
      <w:r w:rsidRPr="0023611F">
        <w:rPr>
          <w:rFonts w:ascii="Arial" w:hAnsi="Arial" w:cs="Arial"/>
          <w:b/>
        </w:rPr>
        <w:t xml:space="preserve"> </w:t>
      </w:r>
      <w:r w:rsidR="00EF7FE5" w:rsidRPr="0023611F">
        <w:rPr>
          <w:rFonts w:ascii="Arial" w:hAnsi="Arial" w:cs="Arial"/>
          <w:b/>
        </w:rPr>
        <w:t>AV ČR</w:t>
      </w:r>
      <w:r w:rsidR="00EF7FE5">
        <w:rPr>
          <w:rFonts w:ascii="Arial" w:hAnsi="Arial" w:cs="Arial"/>
          <w:bCs/>
        </w:rPr>
        <w:t xml:space="preserve"> </w:t>
      </w:r>
      <w:r w:rsidR="00651959">
        <w:rPr>
          <w:rFonts w:ascii="Arial" w:hAnsi="Arial" w:cs="Arial"/>
          <w:bCs/>
        </w:rPr>
        <w:t xml:space="preserve">(dále jen „TC AVČR“) </w:t>
      </w:r>
      <w:r w:rsidR="00EF7FE5">
        <w:rPr>
          <w:rFonts w:ascii="Arial" w:hAnsi="Arial" w:cs="Arial"/>
          <w:bCs/>
        </w:rPr>
        <w:t>v</w:t>
      </w:r>
      <w:r w:rsidR="00573BAD">
        <w:rPr>
          <w:rFonts w:ascii="Arial" w:hAnsi="Arial" w:cs="Arial"/>
          <w:bCs/>
        </w:rPr>
        <w:t xml:space="preserve">e velmi úzké </w:t>
      </w:r>
      <w:r w:rsidR="00EF7FE5">
        <w:rPr>
          <w:rFonts w:ascii="Arial" w:hAnsi="Arial" w:cs="Arial"/>
          <w:bCs/>
        </w:rPr>
        <w:t>spolupráci s</w:t>
      </w:r>
      <w:r w:rsidR="00573BAD">
        <w:rPr>
          <w:rFonts w:ascii="Arial" w:hAnsi="Arial" w:cs="Arial"/>
          <w:bCs/>
        </w:rPr>
        <w:t> </w:t>
      </w:r>
      <w:r w:rsidR="00EF7FE5">
        <w:rPr>
          <w:rFonts w:ascii="Arial" w:hAnsi="Arial" w:cs="Arial"/>
          <w:bCs/>
        </w:rPr>
        <w:t>MŠM</w:t>
      </w:r>
      <w:r w:rsidR="00D3639D">
        <w:rPr>
          <w:rFonts w:ascii="Arial" w:hAnsi="Arial" w:cs="Arial"/>
          <w:bCs/>
        </w:rPr>
        <w:t>T</w:t>
      </w:r>
      <w:r w:rsidR="00573BAD">
        <w:rPr>
          <w:rFonts w:ascii="Arial" w:hAnsi="Arial" w:cs="Arial"/>
          <w:bCs/>
        </w:rPr>
        <w:t xml:space="preserve"> i velkými výzkumnými infrastrukturami</w:t>
      </w:r>
      <w:r w:rsidR="00B6257E">
        <w:rPr>
          <w:rFonts w:ascii="Arial" w:hAnsi="Arial" w:cs="Arial"/>
          <w:bCs/>
        </w:rPr>
        <w:t xml:space="preserve"> samotnými</w:t>
      </w:r>
      <w:r w:rsidR="00573BAD">
        <w:rPr>
          <w:rFonts w:ascii="Arial" w:hAnsi="Arial" w:cs="Arial"/>
          <w:bCs/>
        </w:rPr>
        <w:t xml:space="preserve">, </w:t>
      </w:r>
      <w:r w:rsidR="00B6257E">
        <w:rPr>
          <w:rFonts w:ascii="Arial" w:hAnsi="Arial" w:cs="Arial"/>
          <w:bCs/>
        </w:rPr>
        <w:t>které k provedení analýzy validovaly použité informace a data</w:t>
      </w:r>
      <w:r w:rsidR="00EF7FE5">
        <w:rPr>
          <w:rFonts w:ascii="Arial" w:hAnsi="Arial" w:cs="Arial"/>
          <w:bCs/>
        </w:rPr>
        <w:t xml:space="preserve">. </w:t>
      </w:r>
    </w:p>
    <w:p w14:paraId="6B37150E" w14:textId="77777777" w:rsidR="00573BAD" w:rsidRDefault="00573BAD" w:rsidP="00660EDD">
      <w:pPr>
        <w:spacing w:after="0" w:line="240" w:lineRule="auto"/>
        <w:jc w:val="both"/>
        <w:rPr>
          <w:rFonts w:ascii="Arial" w:hAnsi="Arial" w:cs="Arial"/>
          <w:bCs/>
        </w:rPr>
      </w:pPr>
    </w:p>
    <w:p w14:paraId="5AABED12" w14:textId="3942BF52" w:rsidR="00AA0564" w:rsidRDefault="00EF7FE5" w:rsidP="00660EDD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Parametry </w:t>
      </w:r>
      <w:r w:rsidR="00D3639D">
        <w:rPr>
          <w:rFonts w:ascii="Arial" w:hAnsi="Arial" w:cs="Arial"/>
          <w:bCs/>
        </w:rPr>
        <w:t>pro</w:t>
      </w:r>
      <w:r>
        <w:rPr>
          <w:rFonts w:ascii="Arial" w:hAnsi="Arial" w:cs="Arial"/>
          <w:bCs/>
        </w:rPr>
        <w:t xml:space="preserve"> </w:t>
      </w:r>
      <w:r w:rsidR="00D3639D">
        <w:rPr>
          <w:rFonts w:ascii="Arial" w:hAnsi="Arial" w:cs="Arial"/>
          <w:bCs/>
        </w:rPr>
        <w:t>vy</w:t>
      </w:r>
      <w:r>
        <w:rPr>
          <w:rFonts w:ascii="Arial" w:hAnsi="Arial" w:cs="Arial"/>
          <w:bCs/>
        </w:rPr>
        <w:t xml:space="preserve">pracování analýzy odsouhlasila RVVI, přičemž výstupy analytického šetření byly </w:t>
      </w:r>
      <w:r w:rsidR="00B6257E">
        <w:rPr>
          <w:rFonts w:ascii="Arial" w:hAnsi="Arial" w:cs="Arial"/>
          <w:bCs/>
        </w:rPr>
        <w:t xml:space="preserve">MŠMT </w:t>
      </w:r>
      <w:r>
        <w:rPr>
          <w:rFonts w:ascii="Arial" w:hAnsi="Arial" w:cs="Arial"/>
          <w:bCs/>
        </w:rPr>
        <w:t>předloženy</w:t>
      </w:r>
      <w:r w:rsidR="00AA0564" w:rsidRPr="00AA0564">
        <w:rPr>
          <w:rFonts w:ascii="Arial" w:hAnsi="Arial" w:cs="Arial"/>
          <w:bCs/>
        </w:rPr>
        <w:t xml:space="preserve"> </w:t>
      </w:r>
      <w:r w:rsidR="00B6257E">
        <w:rPr>
          <w:rFonts w:ascii="Arial" w:hAnsi="Arial" w:cs="Arial"/>
          <w:bCs/>
        </w:rPr>
        <w:t xml:space="preserve">vůči </w:t>
      </w:r>
      <w:r w:rsidR="00651959">
        <w:rPr>
          <w:rFonts w:ascii="Arial" w:hAnsi="Arial" w:cs="Arial"/>
          <w:bCs/>
        </w:rPr>
        <w:t xml:space="preserve">RVVI </w:t>
      </w:r>
      <w:r w:rsidR="00AA0564" w:rsidRPr="00AA0564">
        <w:rPr>
          <w:rFonts w:ascii="Arial" w:hAnsi="Arial" w:cs="Arial"/>
          <w:bCs/>
        </w:rPr>
        <w:t xml:space="preserve">na </w:t>
      </w:r>
      <w:r w:rsidR="00651959">
        <w:rPr>
          <w:rFonts w:ascii="Arial" w:hAnsi="Arial" w:cs="Arial"/>
          <w:bCs/>
        </w:rPr>
        <w:t>její</w:t>
      </w:r>
      <w:r w:rsidR="00B6257E">
        <w:rPr>
          <w:rFonts w:ascii="Arial" w:hAnsi="Arial" w:cs="Arial"/>
          <w:bCs/>
        </w:rPr>
        <w:t>m</w:t>
      </w:r>
      <w:r w:rsidR="00651959">
        <w:rPr>
          <w:rFonts w:ascii="Arial" w:hAnsi="Arial" w:cs="Arial"/>
          <w:bCs/>
        </w:rPr>
        <w:t xml:space="preserve"> </w:t>
      </w:r>
      <w:r w:rsidR="00AA0564" w:rsidRPr="00AA0564">
        <w:rPr>
          <w:rFonts w:ascii="Arial" w:hAnsi="Arial" w:cs="Arial"/>
          <w:bCs/>
        </w:rPr>
        <w:t xml:space="preserve">375. zasedání, </w:t>
      </w:r>
      <w:r w:rsidR="00D3639D">
        <w:rPr>
          <w:rFonts w:ascii="Arial" w:hAnsi="Arial" w:cs="Arial"/>
          <w:bCs/>
        </w:rPr>
        <w:t>které</w:t>
      </w:r>
      <w:r w:rsidR="00AA0564" w:rsidRPr="00AA0564">
        <w:rPr>
          <w:rFonts w:ascii="Arial" w:hAnsi="Arial" w:cs="Arial"/>
          <w:bCs/>
        </w:rPr>
        <w:t xml:space="preserve"> </w:t>
      </w:r>
      <w:r w:rsidR="00D3639D">
        <w:rPr>
          <w:rFonts w:ascii="Arial" w:hAnsi="Arial" w:cs="Arial"/>
          <w:bCs/>
        </w:rPr>
        <w:t xml:space="preserve">proběhlo </w:t>
      </w:r>
      <w:r w:rsidR="00AA0564" w:rsidRPr="00AA0564">
        <w:rPr>
          <w:rFonts w:ascii="Arial" w:hAnsi="Arial" w:cs="Arial"/>
          <w:bCs/>
        </w:rPr>
        <w:t>dne 28. ledna 2022.</w:t>
      </w:r>
    </w:p>
    <w:p w14:paraId="5E3E1E35" w14:textId="1019B465" w:rsidR="00D3639D" w:rsidRDefault="00D3639D" w:rsidP="00660EDD">
      <w:pPr>
        <w:spacing w:after="0" w:line="240" w:lineRule="auto"/>
        <w:jc w:val="both"/>
        <w:rPr>
          <w:rFonts w:ascii="Arial" w:hAnsi="Arial" w:cs="Arial"/>
          <w:bCs/>
        </w:rPr>
      </w:pPr>
    </w:p>
    <w:p w14:paraId="30FEF458" w14:textId="50B29158" w:rsidR="00573BAD" w:rsidRDefault="00D3639D" w:rsidP="00660EDD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Jakkoliv se v roce 2021 jednalo o toliko </w:t>
      </w:r>
      <w:r w:rsidRPr="00F42CA9">
        <w:rPr>
          <w:rFonts w:ascii="Arial" w:hAnsi="Arial" w:cs="Arial"/>
          <w:b/>
        </w:rPr>
        <w:t>pilotní analýzu</w:t>
      </w:r>
      <w:r>
        <w:rPr>
          <w:rFonts w:ascii="Arial" w:hAnsi="Arial" w:cs="Arial"/>
          <w:bCs/>
        </w:rPr>
        <w:t xml:space="preserve"> socioekonomických přínosů a dopadů velkých výzkumných infrastruktur, informace a data poskytnutá </w:t>
      </w:r>
      <w:r w:rsidR="00FE254C">
        <w:rPr>
          <w:rFonts w:ascii="Arial" w:hAnsi="Arial" w:cs="Arial"/>
          <w:bCs/>
        </w:rPr>
        <w:t xml:space="preserve">ze strany </w:t>
      </w:r>
      <w:r>
        <w:rPr>
          <w:rFonts w:ascii="Arial" w:hAnsi="Arial" w:cs="Arial"/>
          <w:bCs/>
        </w:rPr>
        <w:t>velký</w:t>
      </w:r>
      <w:r w:rsidR="00FE254C">
        <w:rPr>
          <w:rFonts w:ascii="Arial" w:hAnsi="Arial" w:cs="Arial"/>
          <w:bCs/>
        </w:rPr>
        <w:t>ch</w:t>
      </w:r>
      <w:r>
        <w:rPr>
          <w:rFonts w:ascii="Arial" w:hAnsi="Arial" w:cs="Arial"/>
          <w:bCs/>
        </w:rPr>
        <w:t xml:space="preserve"> výzkumný</w:t>
      </w:r>
      <w:r w:rsidR="00FE254C">
        <w:rPr>
          <w:rFonts w:ascii="Arial" w:hAnsi="Arial" w:cs="Arial"/>
          <w:bCs/>
        </w:rPr>
        <w:t>ch</w:t>
      </w:r>
      <w:r>
        <w:rPr>
          <w:rFonts w:ascii="Arial" w:hAnsi="Arial" w:cs="Arial"/>
          <w:bCs/>
        </w:rPr>
        <w:t xml:space="preserve"> infrastruktu</w:t>
      </w:r>
      <w:r w:rsidR="00FE254C">
        <w:rPr>
          <w:rFonts w:ascii="Arial" w:hAnsi="Arial" w:cs="Arial"/>
          <w:bCs/>
        </w:rPr>
        <w:t>r a posouzená týmem profesioná</w:t>
      </w:r>
      <w:r w:rsidR="00EB5375">
        <w:rPr>
          <w:rFonts w:ascii="Arial" w:hAnsi="Arial" w:cs="Arial"/>
          <w:bCs/>
        </w:rPr>
        <w:t>l</w:t>
      </w:r>
      <w:r w:rsidR="00FE254C">
        <w:rPr>
          <w:rFonts w:ascii="Arial" w:hAnsi="Arial" w:cs="Arial"/>
          <w:bCs/>
        </w:rPr>
        <w:t xml:space="preserve">ních analytiků přinesla velmi přínosná zjištění. </w:t>
      </w:r>
    </w:p>
    <w:p w14:paraId="0DBC01B9" w14:textId="77777777" w:rsidR="00573BAD" w:rsidRDefault="00573BAD" w:rsidP="00660EDD">
      <w:pPr>
        <w:spacing w:after="0" w:line="240" w:lineRule="auto"/>
        <w:jc w:val="both"/>
        <w:rPr>
          <w:rFonts w:ascii="Arial" w:hAnsi="Arial" w:cs="Arial"/>
          <w:bCs/>
        </w:rPr>
      </w:pPr>
    </w:p>
    <w:p w14:paraId="452A31B3" w14:textId="4B2BF681" w:rsidR="00D3639D" w:rsidRDefault="00D706A2" w:rsidP="00660EDD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Odhlédneme-li od nezpochybnitelných vědeckých </w:t>
      </w:r>
      <w:r w:rsidR="00B6257E">
        <w:rPr>
          <w:rFonts w:ascii="Arial" w:hAnsi="Arial" w:cs="Arial"/>
          <w:bCs/>
        </w:rPr>
        <w:t>výsledků</w:t>
      </w:r>
      <w:r>
        <w:rPr>
          <w:rFonts w:ascii="Arial" w:hAnsi="Arial" w:cs="Arial"/>
          <w:bCs/>
        </w:rPr>
        <w:t xml:space="preserve"> </w:t>
      </w:r>
      <w:r w:rsidR="00B6257E">
        <w:rPr>
          <w:rFonts w:ascii="Arial" w:hAnsi="Arial" w:cs="Arial"/>
          <w:bCs/>
        </w:rPr>
        <w:t xml:space="preserve">velkých výzkumných infrastruktur </w:t>
      </w:r>
      <w:r>
        <w:rPr>
          <w:rFonts w:ascii="Arial" w:hAnsi="Arial" w:cs="Arial"/>
          <w:bCs/>
        </w:rPr>
        <w:t>a</w:t>
      </w:r>
      <w:r w:rsidR="00B6257E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zaměříme-li se na přínosy a dopady v </w:t>
      </w:r>
      <w:r w:rsidR="00B6257E">
        <w:rPr>
          <w:rFonts w:ascii="Arial" w:hAnsi="Arial" w:cs="Arial"/>
          <w:bCs/>
        </w:rPr>
        <w:t>dalších</w:t>
      </w:r>
      <w:r>
        <w:rPr>
          <w:rFonts w:ascii="Arial" w:hAnsi="Arial" w:cs="Arial"/>
          <w:bCs/>
        </w:rPr>
        <w:t xml:space="preserve"> sektorových oblastech, v</w:t>
      </w:r>
      <w:r w:rsidR="00FE254C">
        <w:rPr>
          <w:rFonts w:ascii="Arial" w:hAnsi="Arial" w:cs="Arial"/>
          <w:bCs/>
        </w:rPr>
        <w:t>e</w:t>
      </w:r>
      <w:r w:rsidR="00FE254C" w:rsidRPr="00FE254C">
        <w:rPr>
          <w:rFonts w:ascii="Arial" w:hAnsi="Arial" w:cs="Arial"/>
          <w:bCs/>
        </w:rPr>
        <w:t xml:space="preserve"> </w:t>
      </w:r>
      <w:r w:rsidR="00FE254C">
        <w:rPr>
          <w:rFonts w:ascii="Arial" w:hAnsi="Arial" w:cs="Arial"/>
          <w:bCs/>
        </w:rPr>
        <w:t>sledovaném</w:t>
      </w:r>
      <w:r w:rsidR="00FE254C" w:rsidRPr="00FE254C">
        <w:rPr>
          <w:rFonts w:ascii="Arial" w:hAnsi="Arial" w:cs="Arial"/>
          <w:bCs/>
        </w:rPr>
        <w:t xml:space="preserve"> období </w:t>
      </w:r>
      <w:r w:rsidR="00FE254C">
        <w:rPr>
          <w:rFonts w:ascii="Arial" w:hAnsi="Arial" w:cs="Arial"/>
          <w:bCs/>
        </w:rPr>
        <w:t>let 2016–202</w:t>
      </w:r>
      <w:r w:rsidR="00EB5375">
        <w:rPr>
          <w:rFonts w:ascii="Arial" w:hAnsi="Arial" w:cs="Arial"/>
          <w:bCs/>
        </w:rPr>
        <w:t>0</w:t>
      </w:r>
      <w:r w:rsidR="00FE254C">
        <w:rPr>
          <w:rFonts w:ascii="Arial" w:hAnsi="Arial" w:cs="Arial"/>
          <w:bCs/>
        </w:rPr>
        <w:t xml:space="preserve"> velké výzkumné infrastruktury</w:t>
      </w:r>
      <w:r w:rsidR="005D4B38">
        <w:rPr>
          <w:rFonts w:ascii="Arial" w:hAnsi="Arial" w:cs="Arial"/>
          <w:bCs/>
        </w:rPr>
        <w:t xml:space="preserve"> </w:t>
      </w:r>
      <w:r w:rsidR="00FE254C">
        <w:rPr>
          <w:rFonts w:ascii="Arial" w:hAnsi="Arial" w:cs="Arial"/>
          <w:bCs/>
        </w:rPr>
        <w:t xml:space="preserve">poptávaly </w:t>
      </w:r>
      <w:r w:rsidR="00FE254C" w:rsidRPr="00FE254C">
        <w:rPr>
          <w:rFonts w:ascii="Arial" w:hAnsi="Arial" w:cs="Arial"/>
          <w:b/>
        </w:rPr>
        <w:t>veřejné zakázky v celkové hodnotě dosahující téměř 6 mld. Kč</w:t>
      </w:r>
      <w:r w:rsidR="008655C9">
        <w:rPr>
          <w:rFonts w:ascii="Arial" w:hAnsi="Arial" w:cs="Arial"/>
          <w:b/>
        </w:rPr>
        <w:t xml:space="preserve"> </w:t>
      </w:r>
      <w:r w:rsidR="008655C9">
        <w:rPr>
          <w:rFonts w:ascii="Arial" w:hAnsi="Arial" w:cs="Arial"/>
          <w:bCs/>
        </w:rPr>
        <w:t>či</w:t>
      </w:r>
      <w:r w:rsidR="00FE254C" w:rsidRPr="00FE254C">
        <w:rPr>
          <w:rFonts w:ascii="Arial" w:hAnsi="Arial" w:cs="Arial"/>
          <w:bCs/>
        </w:rPr>
        <w:t xml:space="preserve"> </w:t>
      </w:r>
      <w:r w:rsidR="00B6257E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osáhly </w:t>
      </w:r>
      <w:r w:rsidR="00FE254C" w:rsidRPr="00FE254C">
        <w:rPr>
          <w:rFonts w:ascii="Arial" w:hAnsi="Arial" w:cs="Arial"/>
          <w:b/>
        </w:rPr>
        <w:t>příjm</w:t>
      </w:r>
      <w:r>
        <w:rPr>
          <w:rFonts w:ascii="Arial" w:hAnsi="Arial" w:cs="Arial"/>
          <w:b/>
        </w:rPr>
        <w:t>ů</w:t>
      </w:r>
      <w:r w:rsidR="00FE254C" w:rsidRPr="00FE254C">
        <w:rPr>
          <w:rFonts w:ascii="Arial" w:hAnsi="Arial" w:cs="Arial"/>
          <w:b/>
        </w:rPr>
        <w:t xml:space="preserve"> od komerčních uživatelů v celkové hodnotě více než 770 mil. Kč</w:t>
      </w:r>
      <w:r w:rsidR="008655C9">
        <w:rPr>
          <w:rFonts w:ascii="Arial" w:hAnsi="Arial" w:cs="Arial"/>
          <w:b/>
        </w:rPr>
        <w:t xml:space="preserve">. </w:t>
      </w:r>
      <w:r w:rsidR="008655C9">
        <w:rPr>
          <w:rFonts w:ascii="Arial" w:hAnsi="Arial" w:cs="Arial"/>
          <w:bCs/>
        </w:rPr>
        <w:t>Celkově</w:t>
      </w:r>
      <w:r w:rsidR="008655C9">
        <w:rPr>
          <w:rFonts w:ascii="Arial" w:hAnsi="Arial" w:cs="Arial"/>
          <w:b/>
        </w:rPr>
        <w:t xml:space="preserve"> </w:t>
      </w:r>
      <w:r w:rsidR="00B6257E">
        <w:rPr>
          <w:rFonts w:ascii="Arial" w:hAnsi="Arial" w:cs="Arial"/>
          <w:bCs/>
        </w:rPr>
        <w:t>poskytly služby</w:t>
      </w:r>
      <w:r w:rsidR="00FE254C" w:rsidRPr="00FE254C">
        <w:rPr>
          <w:rFonts w:ascii="Arial" w:hAnsi="Arial" w:cs="Arial"/>
          <w:bCs/>
        </w:rPr>
        <w:t xml:space="preserve"> </w:t>
      </w:r>
      <w:r w:rsidR="00B6257E">
        <w:rPr>
          <w:rFonts w:ascii="Arial" w:hAnsi="Arial" w:cs="Arial"/>
          <w:bCs/>
        </w:rPr>
        <w:t>téměř 6 000 u</w:t>
      </w:r>
      <w:r w:rsidR="00FE254C" w:rsidRPr="00FE254C">
        <w:rPr>
          <w:rFonts w:ascii="Arial" w:hAnsi="Arial" w:cs="Arial"/>
          <w:bCs/>
        </w:rPr>
        <w:t>živatel</w:t>
      </w:r>
      <w:r w:rsidR="00FE254C">
        <w:rPr>
          <w:rFonts w:ascii="Arial" w:hAnsi="Arial" w:cs="Arial"/>
          <w:bCs/>
        </w:rPr>
        <w:t xml:space="preserve">ů ze </w:t>
      </w:r>
      <w:r w:rsidR="00FE254C" w:rsidRPr="00FE254C">
        <w:rPr>
          <w:rFonts w:ascii="Arial" w:hAnsi="Arial" w:cs="Arial"/>
          <w:bCs/>
        </w:rPr>
        <w:t>soukromého sektoru.</w:t>
      </w:r>
    </w:p>
    <w:p w14:paraId="1425C0AF" w14:textId="77777777" w:rsidR="00573BAD" w:rsidRDefault="00573BAD" w:rsidP="00660EDD">
      <w:pPr>
        <w:spacing w:after="0" w:line="240" w:lineRule="auto"/>
        <w:jc w:val="both"/>
        <w:rPr>
          <w:rFonts w:ascii="Arial" w:hAnsi="Arial" w:cs="Arial"/>
          <w:bCs/>
        </w:rPr>
      </w:pPr>
    </w:p>
    <w:p w14:paraId="2227A802" w14:textId="68EC52A0" w:rsidR="005A0F8C" w:rsidRDefault="00D706A2" w:rsidP="00D706A2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Pokud se zaměříme na nejvýznamnější socioekonomickou výzvu, s</w:t>
      </w:r>
      <w:r w:rsidR="001A1BBF">
        <w:rPr>
          <w:rFonts w:ascii="Arial" w:hAnsi="Arial" w:cs="Arial"/>
          <w:bCs/>
        </w:rPr>
        <w:t xml:space="preserve"> níž </w:t>
      </w:r>
      <w:r>
        <w:rPr>
          <w:rFonts w:ascii="Arial" w:hAnsi="Arial" w:cs="Arial"/>
          <w:bCs/>
        </w:rPr>
        <w:t>se globální společnost v posledních letech</w:t>
      </w:r>
      <w:r w:rsidR="00EB5375">
        <w:rPr>
          <w:rFonts w:ascii="Arial" w:hAnsi="Arial" w:cs="Arial"/>
          <w:bCs/>
        </w:rPr>
        <w:t xml:space="preserve"> potýkala</w:t>
      </w:r>
      <w:r>
        <w:rPr>
          <w:rFonts w:ascii="Arial" w:hAnsi="Arial" w:cs="Arial"/>
          <w:bCs/>
        </w:rPr>
        <w:t xml:space="preserve">, </w:t>
      </w:r>
      <w:r w:rsidR="00EB5375">
        <w:rPr>
          <w:rFonts w:ascii="Arial" w:hAnsi="Arial" w:cs="Arial"/>
          <w:bCs/>
        </w:rPr>
        <w:t xml:space="preserve">již </w:t>
      </w:r>
      <w:r w:rsidR="001A1BBF">
        <w:rPr>
          <w:rFonts w:ascii="Arial" w:hAnsi="Arial" w:cs="Arial"/>
          <w:bCs/>
        </w:rPr>
        <w:t xml:space="preserve">od jara 2020 se </w:t>
      </w:r>
      <w:r w:rsidR="001A1BBF" w:rsidRPr="00EB5375">
        <w:rPr>
          <w:rFonts w:ascii="Arial" w:hAnsi="Arial" w:cs="Arial"/>
          <w:bCs/>
        </w:rPr>
        <w:t xml:space="preserve">velké výzkumné infrastruktury </w:t>
      </w:r>
      <w:r w:rsidR="00EB5375">
        <w:rPr>
          <w:rFonts w:ascii="Arial" w:hAnsi="Arial" w:cs="Arial"/>
          <w:bCs/>
        </w:rPr>
        <w:t xml:space="preserve">velmi </w:t>
      </w:r>
      <w:r w:rsidR="001A1BBF" w:rsidRPr="00EB5375">
        <w:rPr>
          <w:rFonts w:ascii="Arial" w:hAnsi="Arial" w:cs="Arial"/>
          <w:bCs/>
        </w:rPr>
        <w:t xml:space="preserve">intenzivně zapojily do </w:t>
      </w:r>
      <w:r w:rsidR="001A1BBF" w:rsidRPr="001A1BBF">
        <w:rPr>
          <w:rFonts w:ascii="Arial" w:hAnsi="Arial" w:cs="Arial"/>
          <w:b/>
        </w:rPr>
        <w:t>řešení následků pande</w:t>
      </w:r>
      <w:r w:rsidRPr="001A1BBF">
        <w:rPr>
          <w:rFonts w:ascii="Arial" w:hAnsi="Arial" w:cs="Arial"/>
          <w:b/>
        </w:rPr>
        <w:t>mi</w:t>
      </w:r>
      <w:r w:rsidR="001A1BBF" w:rsidRPr="001A1BBF">
        <w:rPr>
          <w:rFonts w:ascii="Arial" w:hAnsi="Arial" w:cs="Arial"/>
          <w:b/>
        </w:rPr>
        <w:t>e</w:t>
      </w:r>
      <w:r w:rsidRPr="001A1BBF">
        <w:rPr>
          <w:rFonts w:ascii="Arial" w:hAnsi="Arial" w:cs="Arial"/>
          <w:b/>
        </w:rPr>
        <w:t xml:space="preserve"> </w:t>
      </w:r>
      <w:r w:rsidR="001A1BBF" w:rsidRPr="001A1BBF">
        <w:rPr>
          <w:rFonts w:ascii="Arial" w:hAnsi="Arial" w:cs="Arial"/>
          <w:b/>
        </w:rPr>
        <w:t xml:space="preserve">coronaviru </w:t>
      </w:r>
      <w:r w:rsidRPr="001A1BBF">
        <w:rPr>
          <w:rFonts w:ascii="Arial" w:hAnsi="Arial" w:cs="Arial"/>
          <w:b/>
        </w:rPr>
        <w:t>SARS</w:t>
      </w:r>
      <w:r w:rsidR="001A1BBF">
        <w:rPr>
          <w:rFonts w:ascii="Arial" w:hAnsi="Arial" w:cs="Arial"/>
          <w:b/>
        </w:rPr>
        <w:t>-</w:t>
      </w:r>
      <w:r w:rsidRPr="001A1BBF">
        <w:rPr>
          <w:rFonts w:ascii="Arial" w:hAnsi="Arial" w:cs="Arial"/>
          <w:b/>
        </w:rPr>
        <w:t>CoV</w:t>
      </w:r>
      <w:r w:rsidR="001A1BBF">
        <w:rPr>
          <w:rFonts w:ascii="Arial" w:hAnsi="Arial" w:cs="Arial"/>
          <w:b/>
        </w:rPr>
        <w:t>-</w:t>
      </w:r>
      <w:r w:rsidRPr="001A1BBF">
        <w:rPr>
          <w:rFonts w:ascii="Arial" w:hAnsi="Arial" w:cs="Arial"/>
          <w:b/>
        </w:rPr>
        <w:t>2</w:t>
      </w:r>
      <w:r w:rsidR="001A1BBF" w:rsidRPr="001A1BBF">
        <w:rPr>
          <w:rFonts w:ascii="Arial" w:hAnsi="Arial" w:cs="Arial"/>
          <w:b/>
        </w:rPr>
        <w:t xml:space="preserve"> </w:t>
      </w:r>
      <w:r w:rsidR="001A1BBF">
        <w:rPr>
          <w:rFonts w:ascii="Arial" w:hAnsi="Arial" w:cs="Arial"/>
          <w:b/>
        </w:rPr>
        <w:t>a</w:t>
      </w:r>
      <w:r w:rsidR="001A1BBF" w:rsidRPr="001A1BBF">
        <w:rPr>
          <w:rFonts w:ascii="Arial" w:hAnsi="Arial" w:cs="Arial"/>
          <w:b/>
        </w:rPr>
        <w:t xml:space="preserve"> </w:t>
      </w:r>
      <w:r w:rsidR="001A1BBF">
        <w:rPr>
          <w:rFonts w:ascii="Arial" w:hAnsi="Arial" w:cs="Arial"/>
          <w:b/>
        </w:rPr>
        <w:t>o</w:t>
      </w:r>
      <w:r w:rsidR="001A1BBF" w:rsidRPr="001A1BBF">
        <w:rPr>
          <w:rFonts w:ascii="Arial" w:hAnsi="Arial" w:cs="Arial"/>
          <w:b/>
        </w:rPr>
        <w:t>nemoc</w:t>
      </w:r>
      <w:r w:rsidR="001A1BBF">
        <w:rPr>
          <w:rFonts w:ascii="Arial" w:hAnsi="Arial" w:cs="Arial"/>
          <w:b/>
        </w:rPr>
        <w:t>nění</w:t>
      </w:r>
      <w:r w:rsidR="001A1BBF" w:rsidRPr="001A1BBF">
        <w:rPr>
          <w:rFonts w:ascii="Arial" w:hAnsi="Arial" w:cs="Arial"/>
          <w:b/>
        </w:rPr>
        <w:t xml:space="preserve"> </w:t>
      </w:r>
      <w:r w:rsidRPr="001A1BBF">
        <w:rPr>
          <w:rFonts w:ascii="Arial" w:hAnsi="Arial" w:cs="Arial"/>
          <w:b/>
        </w:rPr>
        <w:t>Covid</w:t>
      </w:r>
      <w:r w:rsidR="00273FA7">
        <w:rPr>
          <w:rFonts w:ascii="Arial" w:hAnsi="Arial" w:cs="Arial"/>
          <w:b/>
        </w:rPr>
        <w:t>-</w:t>
      </w:r>
      <w:r w:rsidRPr="001A1BBF">
        <w:rPr>
          <w:rFonts w:ascii="Arial" w:hAnsi="Arial" w:cs="Arial"/>
          <w:b/>
        </w:rPr>
        <w:t>19</w:t>
      </w:r>
      <w:r w:rsidRPr="00D706A2">
        <w:rPr>
          <w:rFonts w:ascii="Arial" w:hAnsi="Arial" w:cs="Arial"/>
          <w:bCs/>
        </w:rPr>
        <w:t xml:space="preserve">. </w:t>
      </w:r>
    </w:p>
    <w:p w14:paraId="4D79DEBE" w14:textId="77777777" w:rsidR="005A0F8C" w:rsidRDefault="005A0F8C" w:rsidP="00D706A2">
      <w:pPr>
        <w:spacing w:after="0" w:line="240" w:lineRule="auto"/>
        <w:jc w:val="both"/>
        <w:rPr>
          <w:rFonts w:ascii="Arial" w:hAnsi="Arial" w:cs="Arial"/>
          <w:bCs/>
        </w:rPr>
      </w:pPr>
    </w:p>
    <w:p w14:paraId="0A0FC54A" w14:textId="202C25EE" w:rsidR="00D706A2" w:rsidRDefault="00D706A2" w:rsidP="00D706A2">
      <w:pPr>
        <w:spacing w:after="0" w:line="240" w:lineRule="auto"/>
        <w:jc w:val="both"/>
        <w:rPr>
          <w:rFonts w:ascii="Arial" w:hAnsi="Arial" w:cs="Arial"/>
          <w:bCs/>
        </w:rPr>
      </w:pPr>
      <w:r w:rsidRPr="00D706A2">
        <w:rPr>
          <w:rFonts w:ascii="Arial" w:hAnsi="Arial" w:cs="Arial"/>
          <w:bCs/>
        </w:rPr>
        <w:t xml:space="preserve">Členové </w:t>
      </w:r>
      <w:r w:rsidR="001A1BBF">
        <w:rPr>
          <w:rFonts w:ascii="Arial" w:hAnsi="Arial" w:cs="Arial"/>
          <w:bCs/>
        </w:rPr>
        <w:t xml:space="preserve">managementů </w:t>
      </w:r>
      <w:r w:rsidR="005A0F8C">
        <w:rPr>
          <w:rFonts w:ascii="Arial" w:hAnsi="Arial" w:cs="Arial"/>
          <w:bCs/>
        </w:rPr>
        <w:t xml:space="preserve">a personálů </w:t>
      </w:r>
      <w:r w:rsidR="001A1BBF">
        <w:rPr>
          <w:rFonts w:ascii="Arial" w:hAnsi="Arial" w:cs="Arial"/>
          <w:bCs/>
        </w:rPr>
        <w:t>velkých výzkumných infrastruktur</w:t>
      </w:r>
      <w:r w:rsidRPr="00D706A2">
        <w:rPr>
          <w:rFonts w:ascii="Arial" w:hAnsi="Arial" w:cs="Arial"/>
          <w:bCs/>
        </w:rPr>
        <w:t xml:space="preserve"> byli součástí poradních </w:t>
      </w:r>
      <w:r w:rsidR="001A1BBF">
        <w:rPr>
          <w:rFonts w:ascii="Arial" w:hAnsi="Arial" w:cs="Arial"/>
          <w:bCs/>
        </w:rPr>
        <w:t>orgánů</w:t>
      </w:r>
      <w:r w:rsidRPr="00D706A2">
        <w:rPr>
          <w:rFonts w:ascii="Arial" w:hAnsi="Arial" w:cs="Arial"/>
          <w:bCs/>
        </w:rPr>
        <w:t xml:space="preserve"> Ministerstva zdravotnictví, vlády ČR </w:t>
      </w:r>
      <w:r w:rsidR="001A1BBF">
        <w:rPr>
          <w:rFonts w:ascii="Arial" w:hAnsi="Arial" w:cs="Arial"/>
          <w:bCs/>
        </w:rPr>
        <w:t>anebo</w:t>
      </w:r>
      <w:r w:rsidRPr="00D706A2">
        <w:rPr>
          <w:rFonts w:ascii="Arial" w:hAnsi="Arial" w:cs="Arial"/>
          <w:bCs/>
        </w:rPr>
        <w:t xml:space="preserve"> např.</w:t>
      </w:r>
      <w:r w:rsidR="001A1BBF">
        <w:rPr>
          <w:rFonts w:ascii="Arial" w:hAnsi="Arial" w:cs="Arial"/>
          <w:bCs/>
        </w:rPr>
        <w:t xml:space="preserve"> i</w:t>
      </w:r>
      <w:r w:rsidRPr="00D706A2">
        <w:rPr>
          <w:rFonts w:ascii="Arial" w:hAnsi="Arial" w:cs="Arial"/>
          <w:bCs/>
        </w:rPr>
        <w:t xml:space="preserve"> OECD, </w:t>
      </w:r>
      <w:r w:rsidR="001A1BBF">
        <w:rPr>
          <w:rFonts w:ascii="Arial" w:hAnsi="Arial" w:cs="Arial"/>
          <w:bCs/>
        </w:rPr>
        <w:t xml:space="preserve">úzce </w:t>
      </w:r>
      <w:r w:rsidRPr="00D706A2">
        <w:rPr>
          <w:rFonts w:ascii="Arial" w:hAnsi="Arial" w:cs="Arial"/>
          <w:bCs/>
        </w:rPr>
        <w:t xml:space="preserve">spolupracovali s orgány </w:t>
      </w:r>
      <w:r w:rsidR="001A1BBF">
        <w:rPr>
          <w:rFonts w:ascii="Arial" w:hAnsi="Arial" w:cs="Arial"/>
          <w:bCs/>
        </w:rPr>
        <w:t xml:space="preserve">veřejné správy ČR </w:t>
      </w:r>
      <w:r w:rsidRPr="00D706A2">
        <w:rPr>
          <w:rFonts w:ascii="Arial" w:hAnsi="Arial" w:cs="Arial"/>
          <w:bCs/>
        </w:rPr>
        <w:t xml:space="preserve">při přípravě očkování, podíleli se na vývoji testovacích </w:t>
      </w:r>
      <w:proofErr w:type="spellStart"/>
      <w:r w:rsidRPr="00D706A2">
        <w:rPr>
          <w:rFonts w:ascii="Arial" w:hAnsi="Arial" w:cs="Arial"/>
          <w:bCs/>
        </w:rPr>
        <w:t>kitů</w:t>
      </w:r>
      <w:proofErr w:type="spellEnd"/>
      <w:r w:rsidRPr="00D706A2">
        <w:rPr>
          <w:rFonts w:ascii="Arial" w:hAnsi="Arial" w:cs="Arial"/>
          <w:bCs/>
        </w:rPr>
        <w:t xml:space="preserve"> anebo podnítili vznik systému automatické detekce viru, který se používá v laboratořích a </w:t>
      </w:r>
      <w:r w:rsidR="001A1BBF">
        <w:rPr>
          <w:rFonts w:ascii="Arial" w:hAnsi="Arial" w:cs="Arial"/>
          <w:bCs/>
        </w:rPr>
        <w:t xml:space="preserve">v </w:t>
      </w:r>
      <w:r w:rsidRPr="00D706A2">
        <w:rPr>
          <w:rFonts w:ascii="Arial" w:hAnsi="Arial" w:cs="Arial"/>
          <w:bCs/>
        </w:rPr>
        <w:t xml:space="preserve">nemocnicích v ČR </w:t>
      </w:r>
      <w:r w:rsidR="001A1BBF">
        <w:rPr>
          <w:rFonts w:ascii="Arial" w:hAnsi="Arial" w:cs="Arial"/>
          <w:bCs/>
        </w:rPr>
        <w:t>i v</w:t>
      </w:r>
      <w:r w:rsidRPr="00D706A2">
        <w:rPr>
          <w:rFonts w:ascii="Arial" w:hAnsi="Arial" w:cs="Arial"/>
          <w:bCs/>
        </w:rPr>
        <w:t xml:space="preserve"> zahraničí. </w:t>
      </w:r>
      <w:r w:rsidR="001A1BBF">
        <w:rPr>
          <w:rFonts w:ascii="Arial" w:hAnsi="Arial" w:cs="Arial"/>
          <w:bCs/>
        </w:rPr>
        <w:t>Velké výzkumné infrastruktury</w:t>
      </w:r>
      <w:r w:rsidRPr="00D706A2">
        <w:rPr>
          <w:rFonts w:ascii="Arial" w:hAnsi="Arial" w:cs="Arial"/>
          <w:bCs/>
        </w:rPr>
        <w:t xml:space="preserve"> poskytovaly </w:t>
      </w:r>
      <w:r w:rsidR="005A0F8C">
        <w:rPr>
          <w:rFonts w:ascii="Arial" w:hAnsi="Arial" w:cs="Arial"/>
          <w:bCs/>
        </w:rPr>
        <w:t xml:space="preserve">své </w:t>
      </w:r>
      <w:r w:rsidRPr="00D706A2">
        <w:rPr>
          <w:rFonts w:ascii="Arial" w:hAnsi="Arial" w:cs="Arial"/>
          <w:bCs/>
        </w:rPr>
        <w:t xml:space="preserve">kapacity pro testování </w:t>
      </w:r>
      <w:r w:rsidR="001A1BBF">
        <w:rPr>
          <w:rFonts w:ascii="Arial" w:hAnsi="Arial" w:cs="Arial"/>
          <w:bCs/>
        </w:rPr>
        <w:t>i</w:t>
      </w:r>
      <w:r w:rsidRPr="00D706A2">
        <w:rPr>
          <w:rFonts w:ascii="Arial" w:hAnsi="Arial" w:cs="Arial"/>
          <w:bCs/>
        </w:rPr>
        <w:t xml:space="preserve"> trasování</w:t>
      </w:r>
      <w:r w:rsidR="001A1BBF">
        <w:rPr>
          <w:rFonts w:ascii="Arial" w:hAnsi="Arial" w:cs="Arial"/>
          <w:bCs/>
        </w:rPr>
        <w:t xml:space="preserve"> a</w:t>
      </w:r>
      <w:r w:rsidRPr="00D706A2">
        <w:rPr>
          <w:rFonts w:ascii="Arial" w:hAnsi="Arial" w:cs="Arial"/>
          <w:bCs/>
        </w:rPr>
        <w:t xml:space="preserve"> umož</w:t>
      </w:r>
      <w:r w:rsidR="001A1BBF">
        <w:rPr>
          <w:rFonts w:ascii="Arial" w:hAnsi="Arial" w:cs="Arial"/>
          <w:bCs/>
        </w:rPr>
        <w:t>ňovaly</w:t>
      </w:r>
      <w:r w:rsidRPr="00D706A2">
        <w:rPr>
          <w:rFonts w:ascii="Arial" w:hAnsi="Arial" w:cs="Arial"/>
          <w:bCs/>
        </w:rPr>
        <w:t xml:space="preserve"> přednostní využití </w:t>
      </w:r>
      <w:r w:rsidR="00573BAD">
        <w:rPr>
          <w:rFonts w:ascii="Arial" w:hAnsi="Arial" w:cs="Arial"/>
          <w:bCs/>
        </w:rPr>
        <w:t xml:space="preserve">svých </w:t>
      </w:r>
      <w:r w:rsidRPr="00D706A2">
        <w:rPr>
          <w:rFonts w:ascii="Arial" w:hAnsi="Arial" w:cs="Arial"/>
          <w:bCs/>
        </w:rPr>
        <w:t xml:space="preserve">kapacit pro </w:t>
      </w:r>
      <w:r w:rsidR="001A1BBF">
        <w:rPr>
          <w:rFonts w:ascii="Arial" w:hAnsi="Arial" w:cs="Arial"/>
          <w:bCs/>
        </w:rPr>
        <w:t xml:space="preserve">realizaci </w:t>
      </w:r>
      <w:r w:rsidRPr="00D706A2">
        <w:rPr>
          <w:rFonts w:ascii="Arial" w:hAnsi="Arial" w:cs="Arial"/>
          <w:bCs/>
        </w:rPr>
        <w:t>projekt</w:t>
      </w:r>
      <w:r w:rsidR="001A1BBF">
        <w:rPr>
          <w:rFonts w:ascii="Arial" w:hAnsi="Arial" w:cs="Arial"/>
          <w:bCs/>
        </w:rPr>
        <w:t>ů</w:t>
      </w:r>
      <w:r w:rsidRPr="00D706A2">
        <w:rPr>
          <w:rFonts w:ascii="Arial" w:hAnsi="Arial" w:cs="Arial"/>
          <w:bCs/>
        </w:rPr>
        <w:t xml:space="preserve"> </w:t>
      </w:r>
      <w:r w:rsidR="001A1BBF">
        <w:rPr>
          <w:rFonts w:ascii="Arial" w:hAnsi="Arial" w:cs="Arial"/>
          <w:bCs/>
        </w:rPr>
        <w:t>souvisejících s tematikou pandemie.</w:t>
      </w:r>
      <w:r w:rsidRPr="00D706A2">
        <w:rPr>
          <w:rFonts w:ascii="Arial" w:hAnsi="Arial" w:cs="Arial"/>
          <w:bCs/>
        </w:rPr>
        <w:t xml:space="preserve"> Dále tvořily databáze vzorků (</w:t>
      </w:r>
      <w:proofErr w:type="spellStart"/>
      <w:r w:rsidRPr="00D706A2">
        <w:rPr>
          <w:rFonts w:ascii="Arial" w:hAnsi="Arial" w:cs="Arial"/>
          <w:bCs/>
        </w:rPr>
        <w:t>CORONAbase</w:t>
      </w:r>
      <w:proofErr w:type="spellEnd"/>
      <w:r w:rsidRPr="00D706A2">
        <w:rPr>
          <w:rFonts w:ascii="Arial" w:hAnsi="Arial" w:cs="Arial"/>
          <w:bCs/>
        </w:rPr>
        <w:t>)</w:t>
      </w:r>
      <w:r w:rsidR="00EB5375">
        <w:rPr>
          <w:rFonts w:ascii="Arial" w:hAnsi="Arial" w:cs="Arial"/>
          <w:bCs/>
        </w:rPr>
        <w:t>.</w:t>
      </w:r>
      <w:r w:rsidRPr="00D706A2">
        <w:rPr>
          <w:rFonts w:ascii="Arial" w:hAnsi="Arial" w:cs="Arial"/>
          <w:bCs/>
        </w:rPr>
        <w:t xml:space="preserve"> </w:t>
      </w:r>
      <w:r w:rsidR="00EB5375">
        <w:rPr>
          <w:rFonts w:ascii="Arial" w:hAnsi="Arial" w:cs="Arial"/>
          <w:bCs/>
        </w:rPr>
        <w:t>V</w:t>
      </w:r>
      <w:r w:rsidRPr="00D706A2">
        <w:rPr>
          <w:rFonts w:ascii="Arial" w:hAnsi="Arial" w:cs="Arial"/>
          <w:bCs/>
        </w:rPr>
        <w:t>ytvořily vhodný animální model pro výzkum a preklinické testování léčby onemocnění Covid</w:t>
      </w:r>
      <w:r w:rsidR="001A1BBF">
        <w:rPr>
          <w:rFonts w:ascii="Arial" w:hAnsi="Arial" w:cs="Arial"/>
          <w:bCs/>
        </w:rPr>
        <w:t>-</w:t>
      </w:r>
      <w:r w:rsidRPr="00D706A2">
        <w:rPr>
          <w:rFonts w:ascii="Arial" w:hAnsi="Arial" w:cs="Arial"/>
          <w:bCs/>
        </w:rPr>
        <w:t>19</w:t>
      </w:r>
      <w:r w:rsidR="001A1BBF">
        <w:rPr>
          <w:rFonts w:ascii="Arial" w:hAnsi="Arial" w:cs="Arial"/>
          <w:bCs/>
        </w:rPr>
        <w:t>.</w:t>
      </w:r>
      <w:r w:rsidRPr="00D706A2">
        <w:rPr>
          <w:rFonts w:ascii="Arial" w:hAnsi="Arial" w:cs="Arial"/>
          <w:bCs/>
        </w:rPr>
        <w:t xml:space="preserve"> </w:t>
      </w:r>
      <w:r w:rsidR="001A1BBF">
        <w:rPr>
          <w:rFonts w:ascii="Arial" w:hAnsi="Arial" w:cs="Arial"/>
          <w:bCs/>
        </w:rPr>
        <w:t>P</w:t>
      </w:r>
      <w:r w:rsidRPr="00D706A2">
        <w:rPr>
          <w:rFonts w:ascii="Arial" w:hAnsi="Arial" w:cs="Arial"/>
          <w:bCs/>
        </w:rPr>
        <w:t xml:space="preserve">odílely se na přípravě instrukcí pro testovací místa a jejich evaluaci či na vzdělávání pacientských organizací. </w:t>
      </w:r>
      <w:r w:rsidR="001A1BBF">
        <w:rPr>
          <w:rFonts w:ascii="Arial" w:hAnsi="Arial" w:cs="Arial"/>
          <w:bCs/>
        </w:rPr>
        <w:t>P</w:t>
      </w:r>
      <w:r w:rsidRPr="00D706A2">
        <w:rPr>
          <w:rFonts w:ascii="Arial" w:hAnsi="Arial" w:cs="Arial"/>
          <w:bCs/>
        </w:rPr>
        <w:t xml:space="preserve">odílely </w:t>
      </w:r>
      <w:r w:rsidR="001A1BBF">
        <w:rPr>
          <w:rFonts w:ascii="Arial" w:hAnsi="Arial" w:cs="Arial"/>
          <w:bCs/>
        </w:rPr>
        <w:t xml:space="preserve">se i </w:t>
      </w:r>
      <w:r w:rsidRPr="00D706A2">
        <w:rPr>
          <w:rFonts w:ascii="Arial" w:hAnsi="Arial" w:cs="Arial"/>
          <w:bCs/>
        </w:rPr>
        <w:t xml:space="preserve">na přípravě dezinfekce </w:t>
      </w:r>
      <w:r w:rsidR="001A1BBF">
        <w:rPr>
          <w:rFonts w:ascii="Arial" w:hAnsi="Arial" w:cs="Arial"/>
          <w:bCs/>
        </w:rPr>
        <w:t>č</w:t>
      </w:r>
      <w:r w:rsidRPr="00D706A2">
        <w:rPr>
          <w:rFonts w:ascii="Arial" w:hAnsi="Arial" w:cs="Arial"/>
          <w:bCs/>
        </w:rPr>
        <w:t xml:space="preserve">i na zkoumání vlivu pandemie na chování </w:t>
      </w:r>
      <w:r w:rsidR="001A1BBF">
        <w:rPr>
          <w:rFonts w:ascii="Arial" w:hAnsi="Arial" w:cs="Arial"/>
          <w:bCs/>
        </w:rPr>
        <w:t>společnosti</w:t>
      </w:r>
      <w:r w:rsidRPr="00D706A2">
        <w:rPr>
          <w:rFonts w:ascii="Arial" w:hAnsi="Arial" w:cs="Arial"/>
          <w:bCs/>
        </w:rPr>
        <w:t xml:space="preserve"> a jeho dopady</w:t>
      </w:r>
      <w:r w:rsidR="001A1BBF">
        <w:rPr>
          <w:rFonts w:ascii="Arial" w:hAnsi="Arial" w:cs="Arial"/>
          <w:bCs/>
        </w:rPr>
        <w:t xml:space="preserve"> na </w:t>
      </w:r>
      <w:r w:rsidRPr="00D706A2">
        <w:rPr>
          <w:rFonts w:ascii="Arial" w:hAnsi="Arial" w:cs="Arial"/>
          <w:bCs/>
        </w:rPr>
        <w:t xml:space="preserve">epidemiologické modely. </w:t>
      </w:r>
      <w:r w:rsidR="001A1BBF">
        <w:rPr>
          <w:rFonts w:ascii="Arial" w:hAnsi="Arial" w:cs="Arial"/>
          <w:bCs/>
        </w:rPr>
        <w:t xml:space="preserve">Velké výzkumné infrastruktury </w:t>
      </w:r>
      <w:r w:rsidRPr="00D706A2">
        <w:rPr>
          <w:rFonts w:ascii="Arial" w:hAnsi="Arial" w:cs="Arial"/>
          <w:bCs/>
        </w:rPr>
        <w:t xml:space="preserve">spolupracovaly </w:t>
      </w:r>
      <w:r w:rsidR="00611A4D">
        <w:rPr>
          <w:rFonts w:ascii="Arial" w:hAnsi="Arial" w:cs="Arial"/>
          <w:bCs/>
        </w:rPr>
        <w:t xml:space="preserve">i </w:t>
      </w:r>
      <w:r w:rsidRPr="00D706A2">
        <w:rPr>
          <w:rFonts w:ascii="Arial" w:hAnsi="Arial" w:cs="Arial"/>
          <w:bCs/>
        </w:rPr>
        <w:t>s firmami při produkci roušek a filtrů</w:t>
      </w:r>
      <w:r w:rsidR="00A3029B">
        <w:rPr>
          <w:rFonts w:ascii="Arial" w:hAnsi="Arial" w:cs="Arial"/>
          <w:bCs/>
        </w:rPr>
        <w:t>. M</w:t>
      </w:r>
      <w:r w:rsidRPr="00D706A2">
        <w:rPr>
          <w:rFonts w:ascii="Arial" w:hAnsi="Arial" w:cs="Arial"/>
          <w:bCs/>
        </w:rPr>
        <w:t>ěřily průniky aerosolových částic skrz</w:t>
      </w:r>
      <w:r w:rsidR="00611A4D">
        <w:rPr>
          <w:rFonts w:ascii="Arial" w:hAnsi="Arial" w:cs="Arial"/>
          <w:bCs/>
        </w:rPr>
        <w:t>e</w:t>
      </w:r>
      <w:r w:rsidRPr="00D706A2">
        <w:rPr>
          <w:rFonts w:ascii="Arial" w:hAnsi="Arial" w:cs="Arial"/>
          <w:bCs/>
        </w:rPr>
        <w:t xml:space="preserve"> různé </w:t>
      </w:r>
      <w:r w:rsidR="00611A4D">
        <w:rPr>
          <w:rFonts w:ascii="Arial" w:hAnsi="Arial" w:cs="Arial"/>
          <w:bCs/>
        </w:rPr>
        <w:t xml:space="preserve">materiály </w:t>
      </w:r>
      <w:r w:rsidRPr="00D706A2">
        <w:rPr>
          <w:rFonts w:ascii="Arial" w:hAnsi="Arial" w:cs="Arial"/>
          <w:bCs/>
        </w:rPr>
        <w:t>ochrann</w:t>
      </w:r>
      <w:r w:rsidR="00611A4D">
        <w:rPr>
          <w:rFonts w:ascii="Arial" w:hAnsi="Arial" w:cs="Arial"/>
          <w:bCs/>
        </w:rPr>
        <w:t>ých</w:t>
      </w:r>
      <w:r w:rsidRPr="00D706A2">
        <w:rPr>
          <w:rFonts w:ascii="Arial" w:hAnsi="Arial" w:cs="Arial"/>
          <w:bCs/>
        </w:rPr>
        <w:t xml:space="preserve"> pomůc</w:t>
      </w:r>
      <w:r w:rsidR="00611A4D">
        <w:rPr>
          <w:rFonts w:ascii="Arial" w:hAnsi="Arial" w:cs="Arial"/>
          <w:bCs/>
        </w:rPr>
        <w:t>e</w:t>
      </w:r>
      <w:r w:rsidRPr="00D706A2">
        <w:rPr>
          <w:rFonts w:ascii="Arial" w:hAnsi="Arial" w:cs="Arial"/>
          <w:bCs/>
        </w:rPr>
        <w:t xml:space="preserve">k. V neposlední řadě se </w:t>
      </w:r>
      <w:r w:rsidR="00611A4D">
        <w:rPr>
          <w:rFonts w:ascii="Arial" w:hAnsi="Arial" w:cs="Arial"/>
          <w:bCs/>
        </w:rPr>
        <w:t xml:space="preserve">velké výzkumné infrastruktury </w:t>
      </w:r>
      <w:r w:rsidRPr="00D706A2">
        <w:rPr>
          <w:rFonts w:ascii="Arial" w:hAnsi="Arial" w:cs="Arial"/>
          <w:bCs/>
        </w:rPr>
        <w:t xml:space="preserve">zapojily do krizového managementu státu </w:t>
      </w:r>
      <w:r w:rsidR="00611A4D">
        <w:rPr>
          <w:rFonts w:ascii="Arial" w:hAnsi="Arial" w:cs="Arial"/>
          <w:bCs/>
        </w:rPr>
        <w:t xml:space="preserve">ČR </w:t>
      </w:r>
      <w:r w:rsidRPr="00D706A2">
        <w:rPr>
          <w:rFonts w:ascii="Arial" w:hAnsi="Arial" w:cs="Arial"/>
          <w:bCs/>
        </w:rPr>
        <w:t>v období pandemie</w:t>
      </w:r>
      <w:r w:rsidR="00611A4D">
        <w:rPr>
          <w:rFonts w:ascii="Arial" w:hAnsi="Arial" w:cs="Arial"/>
          <w:bCs/>
        </w:rPr>
        <w:t xml:space="preserve"> a prokázaly, že jsou jeho nedílnou součástí.</w:t>
      </w:r>
    </w:p>
    <w:p w14:paraId="7D4DD0DB" w14:textId="77777777" w:rsidR="0023611F" w:rsidRDefault="0023611F" w:rsidP="00660EDD">
      <w:pPr>
        <w:spacing w:after="0" w:line="240" w:lineRule="auto"/>
        <w:jc w:val="both"/>
        <w:rPr>
          <w:rFonts w:ascii="Arial" w:hAnsi="Arial" w:cs="Arial"/>
          <w:bCs/>
        </w:rPr>
      </w:pPr>
    </w:p>
    <w:p w14:paraId="434E4FE2" w14:textId="007F0CF0" w:rsidR="003504FC" w:rsidRDefault="0023611F" w:rsidP="00660EDD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Během</w:t>
      </w:r>
      <w:r w:rsidR="00651959">
        <w:rPr>
          <w:rFonts w:ascii="Arial" w:hAnsi="Arial" w:cs="Arial"/>
          <w:bCs/>
        </w:rPr>
        <w:t xml:space="preserve"> roku 2022 pracuje TC AVČR v rámci </w:t>
      </w:r>
      <w:r w:rsidR="00651959" w:rsidRPr="0023611F">
        <w:rPr>
          <w:rFonts w:ascii="Arial" w:hAnsi="Arial" w:cs="Arial"/>
          <w:b/>
        </w:rPr>
        <w:t>projektu sdílených činností STRATIN+</w:t>
      </w:r>
      <w:r w:rsidR="00651959">
        <w:rPr>
          <w:rFonts w:ascii="Arial" w:hAnsi="Arial" w:cs="Arial"/>
          <w:bCs/>
        </w:rPr>
        <w:t xml:space="preserve"> na ještě robustnějším metodickém rámci </w:t>
      </w:r>
      <w:r w:rsidR="003C350D">
        <w:rPr>
          <w:rFonts w:ascii="Arial" w:hAnsi="Arial" w:cs="Arial"/>
          <w:bCs/>
        </w:rPr>
        <w:t>pro</w:t>
      </w:r>
      <w:r w:rsidR="00651959">
        <w:rPr>
          <w:rFonts w:ascii="Arial" w:hAnsi="Arial" w:cs="Arial"/>
          <w:bCs/>
        </w:rPr>
        <w:t xml:space="preserve"> provádění </w:t>
      </w:r>
      <w:r w:rsidR="00651959" w:rsidRPr="00651959">
        <w:rPr>
          <w:rFonts w:ascii="Arial" w:hAnsi="Arial" w:cs="Arial"/>
          <w:bCs/>
        </w:rPr>
        <w:t>analýz</w:t>
      </w:r>
      <w:r w:rsidR="00651959">
        <w:rPr>
          <w:rFonts w:ascii="Arial" w:hAnsi="Arial" w:cs="Arial"/>
          <w:bCs/>
        </w:rPr>
        <w:t>y</w:t>
      </w:r>
      <w:r w:rsidR="00651959" w:rsidRPr="00651959">
        <w:rPr>
          <w:rFonts w:ascii="Arial" w:hAnsi="Arial" w:cs="Arial"/>
          <w:bCs/>
        </w:rPr>
        <w:t xml:space="preserve"> socioekonomických přínosů a dopadů velkých výzkumných infrastruktur</w:t>
      </w:r>
      <w:r w:rsidR="00651959">
        <w:rPr>
          <w:rFonts w:ascii="Arial" w:hAnsi="Arial" w:cs="Arial"/>
          <w:bCs/>
        </w:rPr>
        <w:t xml:space="preserve">. Jakkoliv bylo </w:t>
      </w:r>
      <w:r w:rsidR="00651959" w:rsidRPr="00F42CA9">
        <w:rPr>
          <w:rFonts w:ascii="Arial" w:hAnsi="Arial" w:cs="Arial"/>
          <w:bCs/>
        </w:rPr>
        <w:t xml:space="preserve">pilotní šetření </w:t>
      </w:r>
      <w:r w:rsidR="00F42CA9">
        <w:rPr>
          <w:rFonts w:ascii="Arial" w:hAnsi="Arial" w:cs="Arial"/>
          <w:bCs/>
        </w:rPr>
        <w:t>uskutečněné</w:t>
      </w:r>
      <w:r w:rsidR="003C350D" w:rsidRPr="00F42CA9">
        <w:rPr>
          <w:rFonts w:ascii="Arial" w:hAnsi="Arial" w:cs="Arial"/>
          <w:bCs/>
        </w:rPr>
        <w:t xml:space="preserve"> </w:t>
      </w:r>
      <w:r w:rsidR="00651959" w:rsidRPr="00F42CA9">
        <w:rPr>
          <w:rFonts w:ascii="Arial" w:hAnsi="Arial" w:cs="Arial"/>
          <w:bCs/>
        </w:rPr>
        <w:t>v roce 2020</w:t>
      </w:r>
      <w:r w:rsidR="00651959" w:rsidRPr="003C350D">
        <w:rPr>
          <w:rFonts w:ascii="Arial" w:hAnsi="Arial" w:cs="Arial"/>
          <w:b/>
        </w:rPr>
        <w:t xml:space="preserve"> přímo inspirováno metodickými přístupy užívanými ESFRI, OECD či společností </w:t>
      </w:r>
      <w:proofErr w:type="spellStart"/>
      <w:r w:rsidR="00651959" w:rsidRPr="003C350D">
        <w:rPr>
          <w:rFonts w:ascii="Arial" w:hAnsi="Arial" w:cs="Arial"/>
          <w:b/>
        </w:rPr>
        <w:t>Technopolis</w:t>
      </w:r>
      <w:proofErr w:type="spellEnd"/>
      <w:r w:rsidR="00651959" w:rsidRPr="003C350D">
        <w:rPr>
          <w:rFonts w:ascii="Arial" w:hAnsi="Arial" w:cs="Arial"/>
          <w:b/>
        </w:rPr>
        <w:t xml:space="preserve"> Group</w:t>
      </w:r>
      <w:r w:rsidR="00651959">
        <w:rPr>
          <w:rFonts w:ascii="Arial" w:hAnsi="Arial" w:cs="Arial"/>
          <w:bCs/>
        </w:rPr>
        <w:t xml:space="preserve"> a dobralo se </w:t>
      </w:r>
      <w:r w:rsidR="00851EF7">
        <w:rPr>
          <w:rFonts w:ascii="Arial" w:hAnsi="Arial" w:cs="Arial"/>
          <w:bCs/>
        </w:rPr>
        <w:t>zcela</w:t>
      </w:r>
      <w:r w:rsidR="00651959">
        <w:rPr>
          <w:rFonts w:ascii="Arial" w:hAnsi="Arial" w:cs="Arial"/>
          <w:bCs/>
        </w:rPr>
        <w:t xml:space="preserve"> relevantních </w:t>
      </w:r>
      <w:r w:rsidR="003C350D">
        <w:rPr>
          <w:rFonts w:ascii="Arial" w:hAnsi="Arial" w:cs="Arial"/>
          <w:bCs/>
        </w:rPr>
        <w:t>výstupů</w:t>
      </w:r>
      <w:r w:rsidR="00651959">
        <w:rPr>
          <w:rFonts w:ascii="Arial" w:hAnsi="Arial" w:cs="Arial"/>
          <w:bCs/>
        </w:rPr>
        <w:t xml:space="preserve">, </w:t>
      </w:r>
      <w:r w:rsidR="003C350D">
        <w:rPr>
          <w:rFonts w:ascii="Arial" w:hAnsi="Arial" w:cs="Arial"/>
          <w:bCs/>
        </w:rPr>
        <w:t xml:space="preserve">dlouhodobé monitorování </w:t>
      </w:r>
      <w:r w:rsidR="005D4B38">
        <w:rPr>
          <w:rFonts w:ascii="Arial" w:hAnsi="Arial" w:cs="Arial"/>
          <w:bCs/>
        </w:rPr>
        <w:t>socioekonomických</w:t>
      </w:r>
      <w:r w:rsidR="003C350D">
        <w:rPr>
          <w:rFonts w:ascii="Arial" w:hAnsi="Arial" w:cs="Arial"/>
          <w:bCs/>
        </w:rPr>
        <w:t xml:space="preserve"> přínosů a dopadů (nejen) velkých výzkumných infrastruktur si žádá </w:t>
      </w:r>
      <w:r w:rsidR="009911A4">
        <w:rPr>
          <w:rFonts w:ascii="Arial" w:hAnsi="Arial" w:cs="Arial"/>
          <w:bCs/>
        </w:rPr>
        <w:t xml:space="preserve">vysoce systematický </w:t>
      </w:r>
      <w:r w:rsidR="003C350D">
        <w:rPr>
          <w:rFonts w:ascii="Arial" w:hAnsi="Arial" w:cs="Arial"/>
          <w:bCs/>
        </w:rPr>
        <w:t xml:space="preserve">sběr informací a dat o ex-ante stanovených </w:t>
      </w:r>
      <w:r w:rsidR="009911A4">
        <w:rPr>
          <w:rFonts w:ascii="Arial" w:hAnsi="Arial" w:cs="Arial"/>
          <w:bCs/>
        </w:rPr>
        <w:t xml:space="preserve">a </w:t>
      </w:r>
      <w:r w:rsidR="003C350D">
        <w:rPr>
          <w:rFonts w:ascii="Arial" w:hAnsi="Arial" w:cs="Arial"/>
          <w:bCs/>
        </w:rPr>
        <w:t xml:space="preserve">stejných parametrech </w:t>
      </w:r>
      <w:r w:rsidR="009911A4">
        <w:rPr>
          <w:rFonts w:ascii="Arial" w:hAnsi="Arial" w:cs="Arial"/>
          <w:bCs/>
        </w:rPr>
        <w:t xml:space="preserve">sdružovaných </w:t>
      </w:r>
      <w:r w:rsidR="003C350D">
        <w:rPr>
          <w:rFonts w:ascii="Arial" w:hAnsi="Arial" w:cs="Arial"/>
          <w:bCs/>
        </w:rPr>
        <w:t>v dlouhodobém časovém horizontu</w:t>
      </w:r>
      <w:r w:rsidR="009911A4">
        <w:rPr>
          <w:rFonts w:ascii="Arial" w:hAnsi="Arial" w:cs="Arial"/>
          <w:bCs/>
        </w:rPr>
        <w:t>, i</w:t>
      </w:r>
      <w:r w:rsidR="003C350D">
        <w:rPr>
          <w:rFonts w:ascii="Arial" w:hAnsi="Arial" w:cs="Arial"/>
          <w:bCs/>
        </w:rPr>
        <w:t xml:space="preserve"> se zohledněním </w:t>
      </w:r>
      <w:r w:rsidR="000B4C7E">
        <w:rPr>
          <w:rFonts w:ascii="Arial" w:hAnsi="Arial" w:cs="Arial"/>
          <w:bCs/>
        </w:rPr>
        <w:t>doprovodných</w:t>
      </w:r>
      <w:r w:rsidR="003C350D">
        <w:rPr>
          <w:rFonts w:ascii="Arial" w:hAnsi="Arial" w:cs="Arial"/>
          <w:bCs/>
        </w:rPr>
        <w:t xml:space="preserve"> narativů. </w:t>
      </w:r>
    </w:p>
    <w:p w14:paraId="03FD12E8" w14:textId="77777777" w:rsidR="003504FC" w:rsidRDefault="003504FC" w:rsidP="00660EDD">
      <w:pPr>
        <w:spacing w:after="0" w:line="240" w:lineRule="auto"/>
        <w:jc w:val="both"/>
        <w:rPr>
          <w:rFonts w:ascii="Arial" w:hAnsi="Arial" w:cs="Arial"/>
          <w:bCs/>
        </w:rPr>
      </w:pPr>
    </w:p>
    <w:p w14:paraId="53798C0F" w14:textId="10C1E7EC" w:rsidR="003C350D" w:rsidRDefault="003C350D" w:rsidP="00660EDD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Činnost</w:t>
      </w:r>
      <w:r w:rsidR="00F42CA9">
        <w:rPr>
          <w:rFonts w:ascii="Arial" w:hAnsi="Arial" w:cs="Arial"/>
          <w:bCs/>
        </w:rPr>
        <w:t>i</w:t>
      </w:r>
      <w:r>
        <w:rPr>
          <w:rFonts w:ascii="Arial" w:hAnsi="Arial" w:cs="Arial"/>
          <w:bCs/>
        </w:rPr>
        <w:t xml:space="preserve"> TC AVČR </w:t>
      </w:r>
      <w:r w:rsidR="008655C9">
        <w:rPr>
          <w:rFonts w:ascii="Arial" w:hAnsi="Arial" w:cs="Arial"/>
          <w:bCs/>
        </w:rPr>
        <w:t>v této oblasti t</w:t>
      </w:r>
      <w:r w:rsidR="009911A4">
        <w:rPr>
          <w:rFonts w:ascii="Arial" w:hAnsi="Arial" w:cs="Arial"/>
          <w:bCs/>
        </w:rPr>
        <w:t>edy</w:t>
      </w:r>
      <w:r w:rsidR="008655C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budou </w:t>
      </w:r>
      <w:r w:rsidR="003504FC">
        <w:rPr>
          <w:rFonts w:ascii="Arial" w:hAnsi="Arial" w:cs="Arial"/>
          <w:bCs/>
        </w:rPr>
        <w:t>i na</w:t>
      </w:r>
      <w:r w:rsidR="008655C9">
        <w:rPr>
          <w:rFonts w:ascii="Arial" w:hAnsi="Arial" w:cs="Arial"/>
          <w:bCs/>
        </w:rPr>
        <w:t xml:space="preserve">dále </w:t>
      </w:r>
      <w:r>
        <w:rPr>
          <w:rFonts w:ascii="Arial" w:hAnsi="Arial" w:cs="Arial"/>
          <w:bCs/>
        </w:rPr>
        <w:t xml:space="preserve">pokračovat v souladu s harmonogramem věcného plnění a časové </w:t>
      </w:r>
      <w:r w:rsidR="005D4B38">
        <w:rPr>
          <w:rFonts w:ascii="Arial" w:hAnsi="Arial" w:cs="Arial"/>
          <w:bCs/>
        </w:rPr>
        <w:t>realizace</w:t>
      </w:r>
      <w:r>
        <w:rPr>
          <w:rFonts w:ascii="Arial" w:hAnsi="Arial" w:cs="Arial"/>
          <w:bCs/>
        </w:rPr>
        <w:t xml:space="preserve"> projektu sdílených činností </w:t>
      </w:r>
      <w:r w:rsidRPr="00F42CA9">
        <w:rPr>
          <w:rFonts w:ascii="Arial" w:hAnsi="Arial" w:cs="Arial"/>
          <w:bCs/>
        </w:rPr>
        <w:t>STRATIN+</w:t>
      </w:r>
      <w:r w:rsidR="008655C9">
        <w:rPr>
          <w:rFonts w:ascii="Arial" w:hAnsi="Arial" w:cs="Arial"/>
          <w:bCs/>
        </w:rPr>
        <w:t xml:space="preserve">, který byl schválen </w:t>
      </w:r>
      <w:r w:rsidR="008655C9" w:rsidRPr="004A5AC1">
        <w:rPr>
          <w:rFonts w:ascii="Arial" w:hAnsi="Arial" w:cs="Arial"/>
          <w:b/>
        </w:rPr>
        <w:t>usnesením vlády ČR ze dne 19. dubna 2021 č. 386</w:t>
      </w:r>
      <w:r>
        <w:rPr>
          <w:rFonts w:ascii="Arial" w:hAnsi="Arial" w:cs="Arial"/>
          <w:bCs/>
        </w:rPr>
        <w:t>.</w:t>
      </w:r>
    </w:p>
    <w:p w14:paraId="2DEE1B6E" w14:textId="229F1EF5" w:rsidR="008655C9" w:rsidRDefault="008655C9" w:rsidP="00660EDD">
      <w:pPr>
        <w:spacing w:after="0" w:line="240" w:lineRule="auto"/>
        <w:jc w:val="both"/>
        <w:rPr>
          <w:rFonts w:ascii="Arial" w:hAnsi="Arial" w:cs="Arial"/>
          <w:bCs/>
        </w:rPr>
      </w:pPr>
    </w:p>
    <w:p w14:paraId="2B595EAB" w14:textId="3CBCB882" w:rsidR="0023611F" w:rsidRDefault="003C350D" w:rsidP="00660EDD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Jelikož neexistuje univerzální metodi</w:t>
      </w:r>
      <w:r w:rsidR="00F42CA9">
        <w:rPr>
          <w:rFonts w:ascii="Arial" w:hAnsi="Arial" w:cs="Arial"/>
          <w:bCs/>
        </w:rPr>
        <w:t xml:space="preserve">cký rámec </w:t>
      </w:r>
      <w:r w:rsidR="00F42CA9" w:rsidRPr="00651959">
        <w:rPr>
          <w:rFonts w:ascii="Arial" w:hAnsi="Arial" w:cs="Arial"/>
          <w:bCs/>
        </w:rPr>
        <w:t>analýz</w:t>
      </w:r>
      <w:r w:rsidR="00F42CA9">
        <w:rPr>
          <w:rFonts w:ascii="Arial" w:hAnsi="Arial" w:cs="Arial"/>
          <w:bCs/>
        </w:rPr>
        <w:t>y</w:t>
      </w:r>
      <w:r w:rsidR="00F42CA9" w:rsidRPr="00651959">
        <w:rPr>
          <w:rFonts w:ascii="Arial" w:hAnsi="Arial" w:cs="Arial"/>
          <w:bCs/>
        </w:rPr>
        <w:t xml:space="preserve"> socioekonomických přínosů a dopadů výzkumných infrastruktur</w:t>
      </w:r>
      <w:r w:rsidR="00F42CA9">
        <w:rPr>
          <w:rFonts w:ascii="Arial" w:hAnsi="Arial" w:cs="Arial"/>
          <w:bCs/>
        </w:rPr>
        <w:t xml:space="preserve"> ani na evropské či globální úrovni, MŠMT jako věcně příslušný orgán státní správy ČR, coby předsednické země Rady EU v 2. pol. roku 2022, zahrnulo do textace </w:t>
      </w:r>
      <w:r w:rsidR="00F42CA9" w:rsidRPr="00F42CA9">
        <w:rPr>
          <w:rFonts w:ascii="Arial" w:hAnsi="Arial" w:cs="Arial"/>
          <w:b/>
        </w:rPr>
        <w:t>Závěrů Rady EU k výzkumným infrastrukturám</w:t>
      </w:r>
      <w:r w:rsidR="00F42CA9">
        <w:rPr>
          <w:rFonts w:ascii="Arial" w:hAnsi="Arial" w:cs="Arial"/>
          <w:bCs/>
        </w:rPr>
        <w:t xml:space="preserve"> mj. opatření vypracovat na platformě </w:t>
      </w:r>
      <w:r w:rsidR="00F42CA9" w:rsidRPr="0023611F">
        <w:rPr>
          <w:rFonts w:ascii="Arial" w:hAnsi="Arial" w:cs="Arial"/>
          <w:b/>
        </w:rPr>
        <w:t>ESFRI</w:t>
      </w:r>
      <w:r w:rsidR="00F42CA9">
        <w:rPr>
          <w:rFonts w:ascii="Arial" w:hAnsi="Arial" w:cs="Arial"/>
          <w:bCs/>
        </w:rPr>
        <w:t xml:space="preserve"> </w:t>
      </w:r>
      <w:r w:rsidR="004A5AC1">
        <w:rPr>
          <w:rFonts w:ascii="Arial" w:hAnsi="Arial" w:cs="Arial"/>
          <w:bCs/>
        </w:rPr>
        <w:t>metodický rámec</w:t>
      </w:r>
      <w:r w:rsidR="00F42CA9">
        <w:rPr>
          <w:rFonts w:ascii="Arial" w:hAnsi="Arial" w:cs="Arial"/>
          <w:bCs/>
        </w:rPr>
        <w:t xml:space="preserve">, </w:t>
      </w:r>
      <w:r w:rsidR="004A5AC1">
        <w:rPr>
          <w:rFonts w:ascii="Arial" w:hAnsi="Arial" w:cs="Arial"/>
          <w:bCs/>
        </w:rPr>
        <w:t>který bude přejat delegacemi ESFRI k implementaci na národních úrovních</w:t>
      </w:r>
      <w:r w:rsidR="00F42CA9">
        <w:rPr>
          <w:rFonts w:ascii="Arial" w:hAnsi="Arial" w:cs="Arial"/>
          <w:bCs/>
        </w:rPr>
        <w:t>.</w:t>
      </w:r>
    </w:p>
    <w:p w14:paraId="121ADCF2" w14:textId="2B9AED6F" w:rsidR="0023611F" w:rsidRDefault="0023611F" w:rsidP="00660EDD">
      <w:pPr>
        <w:spacing w:after="0" w:line="240" w:lineRule="auto"/>
        <w:jc w:val="both"/>
        <w:rPr>
          <w:rFonts w:ascii="Arial" w:hAnsi="Arial" w:cs="Arial"/>
          <w:bCs/>
        </w:rPr>
      </w:pPr>
    </w:p>
    <w:p w14:paraId="719373AB" w14:textId="2DD889CE" w:rsidR="0023611F" w:rsidRDefault="0023611F" w:rsidP="00660EDD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MŠMT, coby </w:t>
      </w:r>
      <w:r w:rsidR="000B4C7E">
        <w:rPr>
          <w:rFonts w:ascii="Arial" w:hAnsi="Arial" w:cs="Arial"/>
          <w:bCs/>
        </w:rPr>
        <w:t>gestor agendy velkých výzkumných infrastruktur</w:t>
      </w:r>
      <w:r w:rsidR="004A5AC1">
        <w:rPr>
          <w:rFonts w:ascii="Arial" w:hAnsi="Arial" w:cs="Arial"/>
          <w:bCs/>
        </w:rPr>
        <w:t xml:space="preserve"> a mezinárodní spolupráce ČR ve VaVaI</w:t>
      </w:r>
      <w:r w:rsidR="000B4C7E">
        <w:rPr>
          <w:rFonts w:ascii="Arial" w:hAnsi="Arial" w:cs="Arial"/>
          <w:bCs/>
        </w:rPr>
        <w:t xml:space="preserve"> zastupující ČR v ESFRI</w:t>
      </w:r>
      <w:r>
        <w:rPr>
          <w:rFonts w:ascii="Arial" w:hAnsi="Arial" w:cs="Arial"/>
          <w:bCs/>
        </w:rPr>
        <w:t xml:space="preserve">, </w:t>
      </w:r>
      <w:r w:rsidR="005D4B38">
        <w:rPr>
          <w:rFonts w:ascii="Arial" w:hAnsi="Arial" w:cs="Arial"/>
          <w:bCs/>
        </w:rPr>
        <w:t>dlouhodobě</w:t>
      </w:r>
      <w:r>
        <w:rPr>
          <w:rFonts w:ascii="Arial" w:hAnsi="Arial" w:cs="Arial"/>
          <w:bCs/>
        </w:rPr>
        <w:t xml:space="preserve"> </w:t>
      </w:r>
      <w:r w:rsidR="004A5AC1">
        <w:rPr>
          <w:rFonts w:ascii="Arial" w:hAnsi="Arial" w:cs="Arial"/>
          <w:bCs/>
        </w:rPr>
        <w:t xml:space="preserve">přebírá příklady </w:t>
      </w:r>
      <w:r w:rsidR="005352F7">
        <w:rPr>
          <w:rFonts w:ascii="Arial" w:hAnsi="Arial" w:cs="Arial"/>
          <w:bCs/>
        </w:rPr>
        <w:t xml:space="preserve">mezinárodní </w:t>
      </w:r>
      <w:r w:rsidR="004A5AC1">
        <w:rPr>
          <w:rFonts w:ascii="Arial" w:hAnsi="Arial" w:cs="Arial"/>
          <w:bCs/>
        </w:rPr>
        <w:t>dobré praxe, co do výkonu agendy velkých výzkumných infrastruktur.</w:t>
      </w:r>
    </w:p>
    <w:p w14:paraId="6D24A168" w14:textId="77777777" w:rsidR="007B6BAD" w:rsidRDefault="007B6BAD" w:rsidP="00660EDD">
      <w:pPr>
        <w:spacing w:after="0" w:line="240" w:lineRule="auto"/>
        <w:jc w:val="both"/>
        <w:rPr>
          <w:rFonts w:ascii="Arial" w:hAnsi="Arial" w:cs="Arial"/>
          <w:bCs/>
        </w:rPr>
      </w:pPr>
    </w:p>
    <w:p w14:paraId="3AED5695" w14:textId="3CB07AA1" w:rsidR="005631A2" w:rsidRDefault="00B00532" w:rsidP="00660EDD">
      <w:pPr>
        <w:spacing w:after="0" w:line="240" w:lineRule="auto"/>
        <w:jc w:val="both"/>
        <w:rPr>
          <w:rFonts w:ascii="Arial" w:hAnsi="Arial" w:cs="Arial"/>
          <w:bCs/>
        </w:rPr>
      </w:pPr>
      <w:r w:rsidRPr="00B00532">
        <w:rPr>
          <w:rFonts w:ascii="Arial" w:hAnsi="Arial" w:cs="Arial"/>
          <w:bCs/>
        </w:rPr>
        <w:t>RVVI vyžaduje hodnocení ekonomických a společenských dopadů na ČR, zejména na českou ekonomiku a společnost jako celek.</w:t>
      </w:r>
    </w:p>
    <w:p w14:paraId="5113403C" w14:textId="77777777" w:rsidR="0023611F" w:rsidRDefault="0023611F" w:rsidP="00660EDD">
      <w:pPr>
        <w:spacing w:after="0" w:line="240" w:lineRule="auto"/>
        <w:jc w:val="both"/>
        <w:rPr>
          <w:rFonts w:ascii="Arial" w:hAnsi="Arial" w:cs="Arial"/>
          <w:bCs/>
        </w:rPr>
      </w:pPr>
    </w:p>
    <w:p w14:paraId="731B99CC" w14:textId="662E57E7" w:rsidR="00426E26" w:rsidRPr="00AF0A88" w:rsidRDefault="00426E2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caps/>
          <w:u w:val="single"/>
        </w:rPr>
      </w:pPr>
      <w:r>
        <w:rPr>
          <w:rFonts w:ascii="Arial" w:eastAsia="Calibri" w:hAnsi="Arial" w:cs="Arial"/>
          <w:b/>
          <w:caps/>
          <w:u w:val="single"/>
        </w:rPr>
        <w:t>NÁVRH FINANCOVÁNÍ VELKÝCH VÝZKUMNÝCH INFRASTRUKTUR</w:t>
      </w:r>
    </w:p>
    <w:p w14:paraId="04E82358" w14:textId="77777777" w:rsidR="00426E26" w:rsidRDefault="00426E26" w:rsidP="00426E26">
      <w:pPr>
        <w:spacing w:after="0" w:line="240" w:lineRule="auto"/>
        <w:jc w:val="both"/>
        <w:rPr>
          <w:rFonts w:ascii="Arial" w:eastAsia="Calibri" w:hAnsi="Arial" w:cs="Arial"/>
        </w:rPr>
      </w:pPr>
    </w:p>
    <w:p w14:paraId="7BFE6ED7" w14:textId="58180EB5" w:rsidR="00E3347A" w:rsidRDefault="00E3347A" w:rsidP="00E3347A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Rokem</w:t>
      </w:r>
      <w:r w:rsidRPr="00E3347A">
        <w:rPr>
          <w:rFonts w:ascii="Arial" w:eastAsia="Calibri" w:hAnsi="Arial" w:cs="Arial"/>
        </w:rPr>
        <w:t xml:space="preserve"> 2022 skončí rozpočtový rámec </w:t>
      </w:r>
      <w:r w:rsidR="00D156B9">
        <w:rPr>
          <w:rFonts w:ascii="Arial" w:eastAsia="Calibri" w:hAnsi="Arial" w:cs="Arial"/>
        </w:rPr>
        <w:t>financování</w:t>
      </w:r>
      <w:r w:rsidRPr="00E3347A">
        <w:rPr>
          <w:rFonts w:ascii="Arial" w:eastAsia="Calibri" w:hAnsi="Arial" w:cs="Arial"/>
        </w:rPr>
        <w:t xml:space="preserve"> projektů velkých výzkumných infrastruktur</w:t>
      </w:r>
      <w:r w:rsidR="00D156B9">
        <w:rPr>
          <w:rFonts w:ascii="Arial" w:eastAsia="Calibri" w:hAnsi="Arial" w:cs="Arial"/>
        </w:rPr>
        <w:t xml:space="preserve"> </w:t>
      </w:r>
      <w:r w:rsidRPr="00E3347A">
        <w:rPr>
          <w:rFonts w:ascii="Arial" w:eastAsia="Calibri" w:hAnsi="Arial" w:cs="Arial"/>
        </w:rPr>
        <w:t>schválen</w:t>
      </w:r>
      <w:r w:rsidR="00D156B9">
        <w:rPr>
          <w:rFonts w:ascii="Arial" w:eastAsia="Calibri" w:hAnsi="Arial" w:cs="Arial"/>
        </w:rPr>
        <w:t>ých</w:t>
      </w:r>
      <w:r w:rsidRPr="00E3347A">
        <w:rPr>
          <w:rFonts w:ascii="Arial" w:eastAsia="Calibri" w:hAnsi="Arial" w:cs="Arial"/>
        </w:rPr>
        <w:t xml:space="preserve"> vládou ČR </w:t>
      </w:r>
      <w:r w:rsidR="00160C18">
        <w:rPr>
          <w:rFonts w:ascii="Arial" w:eastAsia="Calibri" w:hAnsi="Arial" w:cs="Arial"/>
        </w:rPr>
        <w:t>k</w:t>
      </w:r>
      <w:r w:rsidRPr="00E3347A">
        <w:rPr>
          <w:rFonts w:ascii="Arial" w:eastAsia="Calibri" w:hAnsi="Arial" w:cs="Arial"/>
        </w:rPr>
        <w:t xml:space="preserve"> poskytování účelové podpory MŠMT </w:t>
      </w:r>
      <w:r w:rsidR="009911A4">
        <w:rPr>
          <w:rFonts w:ascii="Arial" w:eastAsia="Calibri" w:hAnsi="Arial" w:cs="Arial"/>
        </w:rPr>
        <w:t xml:space="preserve">do roku </w:t>
      </w:r>
      <w:r w:rsidRPr="00E3347A">
        <w:rPr>
          <w:rFonts w:ascii="Arial" w:eastAsia="Calibri" w:hAnsi="Arial" w:cs="Arial"/>
        </w:rPr>
        <w:t xml:space="preserve">2022. </w:t>
      </w:r>
      <w:r w:rsidR="009911A4">
        <w:rPr>
          <w:rFonts w:ascii="Arial" w:eastAsia="Calibri" w:hAnsi="Arial" w:cs="Arial"/>
        </w:rPr>
        <w:t>Z toho</w:t>
      </w:r>
      <w:r w:rsidR="00160C18">
        <w:rPr>
          <w:rFonts w:ascii="Arial" w:eastAsia="Calibri" w:hAnsi="Arial" w:cs="Arial"/>
        </w:rPr>
        <w:t>to</w:t>
      </w:r>
      <w:r w:rsidR="009911A4">
        <w:rPr>
          <w:rFonts w:ascii="Arial" w:eastAsia="Calibri" w:hAnsi="Arial" w:cs="Arial"/>
        </w:rPr>
        <w:t xml:space="preserve"> důvodu tak musí být r</w:t>
      </w:r>
      <w:r w:rsidRPr="00E3347A">
        <w:rPr>
          <w:rFonts w:ascii="Arial" w:eastAsia="Calibri" w:hAnsi="Arial" w:cs="Arial"/>
        </w:rPr>
        <w:t>ozhodnutí vlády ČR o financování velkých výzkumných infrastruktur v období let 2023</w:t>
      </w:r>
      <w:r w:rsidR="00D156B9">
        <w:rPr>
          <w:rFonts w:ascii="Arial" w:eastAsia="Calibri" w:hAnsi="Arial" w:cs="Arial"/>
        </w:rPr>
        <w:t>–</w:t>
      </w:r>
      <w:r w:rsidRPr="00E3347A">
        <w:rPr>
          <w:rFonts w:ascii="Arial" w:eastAsia="Calibri" w:hAnsi="Arial" w:cs="Arial"/>
        </w:rPr>
        <w:t>202</w:t>
      </w:r>
      <w:r w:rsidR="00D156B9">
        <w:rPr>
          <w:rFonts w:ascii="Arial" w:eastAsia="Calibri" w:hAnsi="Arial" w:cs="Arial"/>
        </w:rPr>
        <w:t xml:space="preserve">6 </w:t>
      </w:r>
      <w:r w:rsidRPr="00E3347A">
        <w:rPr>
          <w:rFonts w:ascii="Arial" w:eastAsia="Calibri" w:hAnsi="Arial" w:cs="Arial"/>
        </w:rPr>
        <w:t>přijato nejpozději do konce roku 2022.</w:t>
      </w:r>
    </w:p>
    <w:p w14:paraId="6574EA0A" w14:textId="51437612" w:rsidR="005A0F8C" w:rsidRDefault="005A0F8C" w:rsidP="00E3347A">
      <w:pPr>
        <w:spacing w:after="0" w:line="240" w:lineRule="auto"/>
        <w:jc w:val="both"/>
        <w:rPr>
          <w:rFonts w:ascii="Arial" w:eastAsia="Calibri" w:hAnsi="Arial" w:cs="Arial"/>
        </w:rPr>
      </w:pPr>
    </w:p>
    <w:p w14:paraId="35796C64" w14:textId="77777777" w:rsidR="00AA0564" w:rsidRPr="00AA0564" w:rsidRDefault="00AA0564" w:rsidP="00AA0564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vanish/>
          <w:u w:val="single"/>
        </w:rPr>
      </w:pPr>
    </w:p>
    <w:p w14:paraId="4953C0D2" w14:textId="77777777" w:rsidR="00AA0564" w:rsidRPr="00AA0564" w:rsidRDefault="00AA0564" w:rsidP="00AA0564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vanish/>
          <w:u w:val="single"/>
        </w:rPr>
      </w:pPr>
    </w:p>
    <w:p w14:paraId="165C9E70" w14:textId="7784DB39" w:rsidR="009563FA" w:rsidRPr="00EB7026" w:rsidRDefault="009563FA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Úspěchy výzkumně-infrastrukturní politiky</w:t>
      </w:r>
    </w:p>
    <w:p w14:paraId="7A36E9F4" w14:textId="77777777" w:rsidR="009563FA" w:rsidRDefault="009563FA" w:rsidP="009563FA">
      <w:pPr>
        <w:spacing w:after="0" w:line="240" w:lineRule="auto"/>
        <w:jc w:val="both"/>
        <w:rPr>
          <w:rFonts w:ascii="Arial" w:eastAsia="Calibri" w:hAnsi="Arial" w:cs="Arial"/>
        </w:rPr>
      </w:pPr>
    </w:p>
    <w:p w14:paraId="4103D4B2" w14:textId="39946E12" w:rsidR="00E674CC" w:rsidRDefault="00DB6FC6" w:rsidP="008360F6">
      <w:pPr>
        <w:spacing w:after="0" w:line="240" w:lineRule="auto"/>
        <w:jc w:val="both"/>
        <w:rPr>
          <w:rFonts w:ascii="Arial" w:eastAsia="Calibri" w:hAnsi="Arial" w:cs="Arial"/>
        </w:rPr>
      </w:pPr>
      <w:r w:rsidRPr="00DB6FC6">
        <w:rPr>
          <w:rFonts w:ascii="Arial" w:eastAsia="Calibri" w:hAnsi="Arial" w:cs="Arial"/>
        </w:rPr>
        <w:t>Na základě výstupů mezinárodního hodnocení velkých výzkumných infrastruktur</w:t>
      </w:r>
      <w:r w:rsidR="009563FA">
        <w:rPr>
          <w:rFonts w:ascii="Arial" w:eastAsia="Calibri" w:hAnsi="Arial" w:cs="Arial"/>
        </w:rPr>
        <w:t xml:space="preserve"> </w:t>
      </w:r>
      <w:r w:rsidRPr="00DB6FC6">
        <w:rPr>
          <w:rFonts w:ascii="Arial" w:eastAsia="Calibri" w:hAnsi="Arial" w:cs="Arial"/>
        </w:rPr>
        <w:t xml:space="preserve">v roce 2021 je </w:t>
      </w:r>
      <w:r w:rsidR="0034057D">
        <w:rPr>
          <w:rFonts w:ascii="Arial" w:eastAsia="Calibri" w:hAnsi="Arial" w:cs="Arial"/>
        </w:rPr>
        <w:t xml:space="preserve">zcela </w:t>
      </w:r>
      <w:r w:rsidRPr="00DB6FC6">
        <w:rPr>
          <w:rFonts w:ascii="Arial" w:eastAsia="Calibri" w:hAnsi="Arial" w:cs="Arial"/>
        </w:rPr>
        <w:t xml:space="preserve">zjevné, že </w:t>
      </w:r>
      <w:r w:rsidRPr="0034057D">
        <w:rPr>
          <w:rFonts w:ascii="Arial" w:eastAsia="Calibri" w:hAnsi="Arial" w:cs="Arial"/>
        </w:rPr>
        <w:t xml:space="preserve">většina velkých výzkumných infrastruktur, </w:t>
      </w:r>
      <w:r w:rsidR="0034057D">
        <w:rPr>
          <w:rFonts w:ascii="Arial" w:eastAsia="Calibri" w:hAnsi="Arial" w:cs="Arial"/>
        </w:rPr>
        <w:t>které</w:t>
      </w:r>
      <w:r w:rsidRPr="0034057D">
        <w:rPr>
          <w:rFonts w:ascii="Arial" w:eastAsia="Calibri" w:hAnsi="Arial" w:cs="Arial"/>
        </w:rPr>
        <w:t xml:space="preserve"> danou evaluaci podstoupily, dosahuje </w:t>
      </w:r>
      <w:r w:rsidRPr="00DB6FC6">
        <w:rPr>
          <w:rFonts w:ascii="Arial" w:eastAsia="Calibri" w:hAnsi="Arial" w:cs="Arial"/>
          <w:b/>
          <w:bCs/>
        </w:rPr>
        <w:t>velmi vysoké kvalitativní úrovně</w:t>
      </w:r>
      <w:r w:rsidRPr="00DB6FC6">
        <w:rPr>
          <w:rFonts w:ascii="Arial" w:eastAsia="Calibri" w:hAnsi="Arial" w:cs="Arial"/>
        </w:rPr>
        <w:t>. Ostatně, naprostá většina z</w:t>
      </w:r>
      <w:r w:rsidR="009563FA">
        <w:rPr>
          <w:rFonts w:ascii="Arial" w:eastAsia="Calibri" w:hAnsi="Arial" w:cs="Arial"/>
        </w:rPr>
        <w:t> takto hodnocených</w:t>
      </w:r>
      <w:r w:rsidRPr="00DB6FC6">
        <w:rPr>
          <w:rFonts w:ascii="Arial" w:eastAsia="Calibri" w:hAnsi="Arial" w:cs="Arial"/>
        </w:rPr>
        <w:t xml:space="preserve"> projektů absolvovala mezinárodní hodnocení již v letech 2014 a 2017 a jejich výstupy měly tak na působení velkých výzkumných infrastruktur formativní dopady, co se týče zvyšování kvality.</w:t>
      </w:r>
      <w:r w:rsidR="00E674CC">
        <w:rPr>
          <w:rFonts w:ascii="Arial" w:eastAsia="Calibri" w:hAnsi="Arial" w:cs="Arial"/>
        </w:rPr>
        <w:t xml:space="preserve"> </w:t>
      </w:r>
      <w:r w:rsidRPr="00DB6FC6">
        <w:rPr>
          <w:rFonts w:ascii="Arial" w:eastAsia="Calibri" w:hAnsi="Arial" w:cs="Arial"/>
        </w:rPr>
        <w:t>Výstupy mezinárodní</w:t>
      </w:r>
      <w:r w:rsidR="009563FA">
        <w:rPr>
          <w:rFonts w:ascii="Arial" w:eastAsia="Calibri" w:hAnsi="Arial" w:cs="Arial"/>
        </w:rPr>
        <w:t>ho</w:t>
      </w:r>
      <w:r w:rsidRPr="00DB6FC6">
        <w:rPr>
          <w:rFonts w:ascii="Arial" w:eastAsia="Calibri" w:hAnsi="Arial" w:cs="Arial"/>
        </w:rPr>
        <w:t xml:space="preserve"> </w:t>
      </w:r>
      <w:r w:rsidR="009563FA">
        <w:rPr>
          <w:rFonts w:ascii="Arial" w:eastAsia="Calibri" w:hAnsi="Arial" w:cs="Arial"/>
        </w:rPr>
        <w:t>hodnocení</w:t>
      </w:r>
      <w:r w:rsidRPr="00DB6FC6">
        <w:rPr>
          <w:rFonts w:ascii="Arial" w:eastAsia="Calibri" w:hAnsi="Arial" w:cs="Arial"/>
        </w:rPr>
        <w:t xml:space="preserve"> </w:t>
      </w:r>
      <w:r w:rsidR="009563FA">
        <w:rPr>
          <w:rFonts w:ascii="Arial" w:eastAsia="Calibri" w:hAnsi="Arial" w:cs="Arial"/>
        </w:rPr>
        <w:t>realizovaného</w:t>
      </w:r>
      <w:r w:rsidRPr="00DB6FC6">
        <w:rPr>
          <w:rFonts w:ascii="Arial" w:eastAsia="Calibri" w:hAnsi="Arial" w:cs="Arial"/>
        </w:rPr>
        <w:t xml:space="preserve"> ro</w:t>
      </w:r>
      <w:r w:rsidR="009563FA">
        <w:rPr>
          <w:rFonts w:ascii="Arial" w:eastAsia="Calibri" w:hAnsi="Arial" w:cs="Arial"/>
        </w:rPr>
        <w:t>ku</w:t>
      </w:r>
      <w:r w:rsidRPr="00DB6FC6">
        <w:rPr>
          <w:rFonts w:ascii="Arial" w:eastAsia="Calibri" w:hAnsi="Arial" w:cs="Arial"/>
        </w:rPr>
        <w:t xml:space="preserve"> 2021 nejsou proto nikterak překvapivé</w:t>
      </w:r>
      <w:r w:rsidR="009563FA">
        <w:rPr>
          <w:rFonts w:ascii="Arial" w:eastAsia="Calibri" w:hAnsi="Arial" w:cs="Arial"/>
        </w:rPr>
        <w:t>.</w:t>
      </w:r>
      <w:r w:rsidRPr="00DB6FC6">
        <w:rPr>
          <w:rFonts w:ascii="Arial" w:eastAsia="Calibri" w:hAnsi="Arial" w:cs="Arial"/>
        </w:rPr>
        <w:t xml:space="preserve"> </w:t>
      </w:r>
      <w:r w:rsidR="009563FA">
        <w:rPr>
          <w:rFonts w:ascii="Arial" w:eastAsia="Calibri" w:hAnsi="Arial" w:cs="Arial"/>
        </w:rPr>
        <w:t>N</w:t>
      </w:r>
      <w:r w:rsidRPr="00DB6FC6">
        <w:rPr>
          <w:rFonts w:ascii="Arial" w:eastAsia="Calibri" w:hAnsi="Arial" w:cs="Arial"/>
        </w:rPr>
        <w:t>aopak potvrzují</w:t>
      </w:r>
      <w:r w:rsidRPr="00DB6FC6">
        <w:rPr>
          <w:rFonts w:ascii="Arial" w:eastAsia="Calibri" w:hAnsi="Arial" w:cs="Arial"/>
          <w:b/>
          <w:bCs/>
        </w:rPr>
        <w:t xml:space="preserve"> úspěchy výzkumně-infrastrukturní politiky </w:t>
      </w:r>
      <w:r w:rsidR="0034057D">
        <w:rPr>
          <w:rFonts w:ascii="Arial" w:eastAsia="Calibri" w:hAnsi="Arial" w:cs="Arial"/>
          <w:b/>
          <w:bCs/>
        </w:rPr>
        <w:t>MŠMT a</w:t>
      </w:r>
      <w:r w:rsidRPr="00DB6FC6">
        <w:rPr>
          <w:rFonts w:ascii="Arial" w:eastAsia="Calibri" w:hAnsi="Arial" w:cs="Arial"/>
          <w:b/>
          <w:bCs/>
        </w:rPr>
        <w:t xml:space="preserve"> ČR </w:t>
      </w:r>
      <w:r w:rsidRPr="0034057D">
        <w:rPr>
          <w:rFonts w:ascii="Arial" w:eastAsia="Calibri" w:hAnsi="Arial" w:cs="Arial"/>
        </w:rPr>
        <w:t>v posledních více než 10 letech, a tedy i oprávněnost investic vynakládaných tímto směrem</w:t>
      </w:r>
      <w:r w:rsidRPr="00DB6FC6">
        <w:rPr>
          <w:rFonts w:ascii="Arial" w:eastAsia="Calibri" w:hAnsi="Arial" w:cs="Arial"/>
        </w:rPr>
        <w:t>.</w:t>
      </w:r>
      <w:r w:rsidR="008360F6">
        <w:rPr>
          <w:rFonts w:ascii="Arial" w:eastAsia="Calibri" w:hAnsi="Arial" w:cs="Arial"/>
        </w:rPr>
        <w:t xml:space="preserve"> </w:t>
      </w:r>
    </w:p>
    <w:p w14:paraId="5EB7CD22" w14:textId="77777777" w:rsidR="00E674CC" w:rsidRDefault="00E674CC" w:rsidP="008360F6">
      <w:pPr>
        <w:spacing w:after="0" w:line="240" w:lineRule="auto"/>
        <w:jc w:val="both"/>
        <w:rPr>
          <w:rFonts w:ascii="Arial" w:eastAsia="Calibri" w:hAnsi="Arial" w:cs="Arial"/>
        </w:rPr>
      </w:pPr>
    </w:p>
    <w:p w14:paraId="071B1110" w14:textId="7FB0B1DB" w:rsidR="00E674CC" w:rsidRDefault="008360F6" w:rsidP="00E674CC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Tyto úspěchy </w:t>
      </w:r>
      <w:r w:rsidR="00E674CC">
        <w:rPr>
          <w:rFonts w:ascii="Arial" w:eastAsia="Calibri" w:hAnsi="Arial" w:cs="Arial"/>
        </w:rPr>
        <w:t>dokládá rovněž</w:t>
      </w:r>
      <w:r>
        <w:rPr>
          <w:rFonts w:ascii="Arial" w:eastAsia="Calibri" w:hAnsi="Arial" w:cs="Arial"/>
        </w:rPr>
        <w:t> </w:t>
      </w:r>
      <w:r w:rsidRPr="00B24A47">
        <w:rPr>
          <w:rFonts w:ascii="Arial" w:eastAsia="Calibri" w:hAnsi="Arial" w:cs="Arial"/>
        </w:rPr>
        <w:t>intenzivní</w:t>
      </w:r>
      <w:r>
        <w:rPr>
          <w:rFonts w:ascii="Arial" w:eastAsia="Calibri" w:hAnsi="Arial" w:cs="Arial"/>
        </w:rPr>
        <w:t xml:space="preserve"> </w:t>
      </w:r>
      <w:r w:rsidRPr="00B24A47">
        <w:rPr>
          <w:rFonts w:ascii="Arial" w:eastAsia="Calibri" w:hAnsi="Arial" w:cs="Arial"/>
          <w:b/>
          <w:bCs/>
        </w:rPr>
        <w:t>internacionalizace</w:t>
      </w:r>
      <w:r>
        <w:rPr>
          <w:rFonts w:ascii="Arial" w:eastAsia="Calibri" w:hAnsi="Arial" w:cs="Arial"/>
        </w:rPr>
        <w:t xml:space="preserve"> velkých výzkumných infrastruktur a </w:t>
      </w:r>
      <w:r w:rsidRPr="00D20DBB">
        <w:rPr>
          <w:rFonts w:ascii="Arial" w:eastAsia="Calibri" w:hAnsi="Arial" w:cs="Arial"/>
          <w:b/>
          <w:bCs/>
        </w:rPr>
        <w:t>mezinárodní spolupráce</w:t>
      </w:r>
      <w:r>
        <w:rPr>
          <w:rFonts w:ascii="Arial" w:eastAsia="Calibri" w:hAnsi="Arial" w:cs="Arial"/>
        </w:rPr>
        <w:t xml:space="preserve"> české výzkumně-infrastrukturní </w:t>
      </w:r>
      <w:r w:rsidR="00E674CC">
        <w:rPr>
          <w:rFonts w:ascii="Arial" w:eastAsia="Calibri" w:hAnsi="Arial" w:cs="Arial"/>
        </w:rPr>
        <w:t>komunity</w:t>
      </w:r>
      <w:r>
        <w:rPr>
          <w:rFonts w:ascii="Arial" w:eastAsia="Calibri" w:hAnsi="Arial" w:cs="Arial"/>
        </w:rPr>
        <w:t xml:space="preserve"> v rámci ERA i globálně. ČR je </w:t>
      </w:r>
      <w:r w:rsidR="00B24A47">
        <w:rPr>
          <w:rFonts w:ascii="Arial" w:eastAsia="Calibri" w:hAnsi="Arial" w:cs="Arial"/>
        </w:rPr>
        <w:t xml:space="preserve">prostřednictvím MŠMT a velkých výzkumných infrastruktur </w:t>
      </w:r>
      <w:r>
        <w:rPr>
          <w:rFonts w:ascii="Arial" w:eastAsia="Calibri" w:hAnsi="Arial" w:cs="Arial"/>
        </w:rPr>
        <w:t xml:space="preserve">zapojena </w:t>
      </w:r>
      <w:r w:rsidR="00B24A47">
        <w:rPr>
          <w:rFonts w:ascii="Arial" w:eastAsia="Calibri" w:hAnsi="Arial" w:cs="Arial"/>
        </w:rPr>
        <w:t xml:space="preserve">již </w:t>
      </w:r>
      <w:r>
        <w:rPr>
          <w:rFonts w:ascii="Arial" w:eastAsia="Calibri" w:hAnsi="Arial" w:cs="Arial"/>
        </w:rPr>
        <w:t xml:space="preserve">do 16 konsorcií ERIC </w:t>
      </w:r>
      <w:r w:rsidR="00E674CC">
        <w:rPr>
          <w:rFonts w:ascii="Arial" w:eastAsia="Calibri" w:hAnsi="Arial" w:cs="Arial"/>
        </w:rPr>
        <w:t>(</w:t>
      </w:r>
      <w:r>
        <w:rPr>
          <w:rFonts w:ascii="Arial" w:eastAsia="Calibri" w:hAnsi="Arial" w:cs="Arial"/>
        </w:rPr>
        <w:t>s výhledem stát se zakládajícím člen</w:t>
      </w:r>
      <w:r w:rsidR="00B24A47">
        <w:rPr>
          <w:rFonts w:ascii="Arial" w:eastAsia="Calibri" w:hAnsi="Arial" w:cs="Arial"/>
        </w:rPr>
        <w:t xml:space="preserve">em </w:t>
      </w:r>
      <w:r>
        <w:rPr>
          <w:rFonts w:ascii="Arial" w:eastAsia="Calibri" w:hAnsi="Arial" w:cs="Arial"/>
        </w:rPr>
        <w:t>dalších 3 v nejbližším období</w:t>
      </w:r>
      <w:r w:rsidR="00E674CC">
        <w:rPr>
          <w:rFonts w:ascii="Arial" w:eastAsia="Calibri" w:hAnsi="Arial" w:cs="Arial"/>
        </w:rPr>
        <w:t>),</w:t>
      </w:r>
      <w:r>
        <w:rPr>
          <w:rFonts w:ascii="Arial" w:eastAsia="Calibri" w:hAnsi="Arial" w:cs="Arial"/>
        </w:rPr>
        <w:t xml:space="preserve"> kladoucích na jimi provozované </w:t>
      </w:r>
      <w:r w:rsidR="00B24A47">
        <w:rPr>
          <w:rFonts w:ascii="Arial" w:eastAsia="Calibri" w:hAnsi="Arial" w:cs="Arial"/>
        </w:rPr>
        <w:t xml:space="preserve">výzkumně-infrastrukturní </w:t>
      </w:r>
      <w:r>
        <w:rPr>
          <w:rFonts w:ascii="Arial" w:eastAsia="Calibri" w:hAnsi="Arial" w:cs="Arial"/>
        </w:rPr>
        <w:t>subjekty vysoké kvalitativní nároky.</w:t>
      </w:r>
      <w:r w:rsidR="00E674CC">
        <w:rPr>
          <w:rFonts w:ascii="Arial" w:eastAsia="Calibri" w:hAnsi="Arial" w:cs="Arial"/>
        </w:rPr>
        <w:t xml:space="preserve"> ČR je dále </w:t>
      </w:r>
      <w:r w:rsidR="00B24A47">
        <w:rPr>
          <w:rFonts w:ascii="Arial" w:eastAsia="Calibri" w:hAnsi="Arial" w:cs="Arial"/>
        </w:rPr>
        <w:t>také</w:t>
      </w:r>
      <w:r w:rsidR="00E674CC">
        <w:rPr>
          <w:rFonts w:ascii="Arial" w:eastAsia="Calibri" w:hAnsi="Arial" w:cs="Arial"/>
        </w:rPr>
        <w:t xml:space="preserve"> hostitelským státem statutárního sídla konsorcia ELI ERIC, </w:t>
      </w:r>
      <w:r w:rsidR="00E674CC" w:rsidRPr="00E674CC">
        <w:rPr>
          <w:rFonts w:ascii="Arial" w:eastAsia="Calibri" w:hAnsi="Arial" w:cs="Arial"/>
        </w:rPr>
        <w:t>operujícího nejvýkonnější laserová experimentální zařízení na světě</w:t>
      </w:r>
      <w:r w:rsidR="00E674CC">
        <w:rPr>
          <w:rFonts w:ascii="Arial" w:eastAsia="Calibri" w:hAnsi="Arial" w:cs="Arial"/>
        </w:rPr>
        <w:t>.</w:t>
      </w:r>
      <w:r w:rsidR="00B24A47">
        <w:rPr>
          <w:rFonts w:ascii="Arial" w:eastAsia="Calibri" w:hAnsi="Arial" w:cs="Arial"/>
        </w:rPr>
        <w:t xml:space="preserve"> </w:t>
      </w:r>
      <w:r w:rsidR="00E674CC" w:rsidRPr="00E674CC">
        <w:rPr>
          <w:rFonts w:ascii="Arial" w:eastAsia="Calibri" w:hAnsi="Arial" w:cs="Arial"/>
        </w:rPr>
        <w:t>Kromě provoz</w:t>
      </w:r>
      <w:r w:rsidR="00B24A47">
        <w:rPr>
          <w:rFonts w:ascii="Arial" w:eastAsia="Calibri" w:hAnsi="Arial" w:cs="Arial"/>
        </w:rPr>
        <w:t>u</w:t>
      </w:r>
      <w:r w:rsidR="00E674CC" w:rsidRPr="00E674CC">
        <w:rPr>
          <w:rFonts w:ascii="Arial" w:eastAsia="Calibri" w:hAnsi="Arial" w:cs="Arial"/>
        </w:rPr>
        <w:t xml:space="preserve"> velkých výzkumných infrastruktur </w:t>
      </w:r>
      <w:r w:rsidR="00D8760D">
        <w:rPr>
          <w:rFonts w:ascii="Arial" w:eastAsia="Calibri" w:hAnsi="Arial" w:cs="Arial"/>
        </w:rPr>
        <w:t xml:space="preserve">přímo </w:t>
      </w:r>
      <w:r w:rsidR="00E674CC" w:rsidRPr="00E674CC">
        <w:rPr>
          <w:rFonts w:ascii="Arial" w:eastAsia="Calibri" w:hAnsi="Arial" w:cs="Arial"/>
        </w:rPr>
        <w:t xml:space="preserve">na území ČR je </w:t>
      </w:r>
      <w:r w:rsidR="00B24A47">
        <w:rPr>
          <w:rFonts w:ascii="Arial" w:eastAsia="Calibri" w:hAnsi="Arial" w:cs="Arial"/>
        </w:rPr>
        <w:t>v rámci</w:t>
      </w:r>
      <w:r w:rsidR="00D8760D">
        <w:rPr>
          <w:rFonts w:ascii="Arial" w:eastAsia="Calibri" w:hAnsi="Arial" w:cs="Arial"/>
        </w:rPr>
        <w:t xml:space="preserve"> </w:t>
      </w:r>
      <w:r w:rsidR="00E674CC" w:rsidRPr="00E674CC">
        <w:rPr>
          <w:rFonts w:ascii="Arial" w:eastAsia="Calibri" w:hAnsi="Arial" w:cs="Arial"/>
        </w:rPr>
        <w:t>dotační</w:t>
      </w:r>
      <w:r w:rsidR="00B24A47">
        <w:rPr>
          <w:rFonts w:ascii="Arial" w:eastAsia="Calibri" w:hAnsi="Arial" w:cs="Arial"/>
        </w:rPr>
        <w:t>ho</w:t>
      </w:r>
      <w:r w:rsidR="00E674CC" w:rsidRPr="00E674CC">
        <w:rPr>
          <w:rFonts w:ascii="Arial" w:eastAsia="Calibri" w:hAnsi="Arial" w:cs="Arial"/>
        </w:rPr>
        <w:t xml:space="preserve"> titul</w:t>
      </w:r>
      <w:r w:rsidR="00B24A47">
        <w:rPr>
          <w:rFonts w:ascii="Arial" w:eastAsia="Calibri" w:hAnsi="Arial" w:cs="Arial"/>
        </w:rPr>
        <w:t>u</w:t>
      </w:r>
      <w:r w:rsidR="00E674CC" w:rsidRPr="00E674CC">
        <w:rPr>
          <w:rFonts w:ascii="Arial" w:eastAsia="Calibri" w:hAnsi="Arial" w:cs="Arial"/>
        </w:rPr>
        <w:t xml:space="preserve"> velkých výzkumných infrastruktur financována </w:t>
      </w:r>
      <w:r w:rsidR="00D8760D">
        <w:rPr>
          <w:rFonts w:ascii="Arial" w:eastAsia="Calibri" w:hAnsi="Arial" w:cs="Arial"/>
        </w:rPr>
        <w:t>také</w:t>
      </w:r>
      <w:r w:rsidR="00E674CC" w:rsidRPr="00E674CC">
        <w:rPr>
          <w:rFonts w:ascii="Arial" w:eastAsia="Calibri" w:hAnsi="Arial" w:cs="Arial"/>
        </w:rPr>
        <w:t xml:space="preserve"> účast ČR v</w:t>
      </w:r>
      <w:r w:rsidR="00D8760D">
        <w:rPr>
          <w:rFonts w:ascii="Arial" w:eastAsia="Calibri" w:hAnsi="Arial" w:cs="Arial"/>
        </w:rPr>
        <w:t> </w:t>
      </w:r>
      <w:r w:rsidR="00E674CC" w:rsidRPr="00E674CC">
        <w:rPr>
          <w:rFonts w:ascii="Arial" w:eastAsia="Calibri" w:hAnsi="Arial" w:cs="Arial"/>
        </w:rPr>
        <w:t>mezinárodních výzkumných infrastrukturách</w:t>
      </w:r>
      <w:r w:rsidR="00D8760D">
        <w:rPr>
          <w:rFonts w:ascii="Arial" w:eastAsia="Calibri" w:hAnsi="Arial" w:cs="Arial"/>
        </w:rPr>
        <w:t xml:space="preserve"> </w:t>
      </w:r>
      <w:r w:rsidR="00B24A47">
        <w:rPr>
          <w:rFonts w:ascii="Arial" w:eastAsia="Calibri" w:hAnsi="Arial" w:cs="Arial"/>
        </w:rPr>
        <w:t xml:space="preserve">nacházejících se </w:t>
      </w:r>
      <w:r w:rsidR="00D8760D">
        <w:rPr>
          <w:rFonts w:ascii="Arial" w:eastAsia="Calibri" w:hAnsi="Arial" w:cs="Arial"/>
        </w:rPr>
        <w:t xml:space="preserve">mimo území ČR </w:t>
      </w:r>
      <w:r w:rsidR="00D8760D" w:rsidRPr="00E674CC">
        <w:rPr>
          <w:rFonts w:ascii="Arial" w:eastAsia="Calibri" w:hAnsi="Arial" w:cs="Arial"/>
        </w:rPr>
        <w:t>v</w:t>
      </w:r>
      <w:r w:rsidR="00D8760D">
        <w:rPr>
          <w:rFonts w:ascii="Arial" w:eastAsia="Calibri" w:hAnsi="Arial" w:cs="Arial"/>
        </w:rPr>
        <w:t xml:space="preserve"> zemích </w:t>
      </w:r>
      <w:r w:rsidR="00D8760D" w:rsidRPr="00E674CC">
        <w:rPr>
          <w:rFonts w:ascii="Arial" w:eastAsia="Calibri" w:hAnsi="Arial" w:cs="Arial"/>
        </w:rPr>
        <w:t>Evrop</w:t>
      </w:r>
      <w:r w:rsidR="00D8760D">
        <w:rPr>
          <w:rFonts w:ascii="Arial" w:eastAsia="Calibri" w:hAnsi="Arial" w:cs="Arial"/>
        </w:rPr>
        <w:t>y</w:t>
      </w:r>
      <w:r w:rsidR="00D8760D" w:rsidRPr="00E674CC">
        <w:rPr>
          <w:rFonts w:ascii="Arial" w:eastAsia="Calibri" w:hAnsi="Arial" w:cs="Arial"/>
        </w:rPr>
        <w:t xml:space="preserve">, </w:t>
      </w:r>
      <w:r w:rsidR="00D8760D">
        <w:rPr>
          <w:rFonts w:ascii="Arial" w:eastAsia="Calibri" w:hAnsi="Arial" w:cs="Arial"/>
        </w:rPr>
        <w:t>Spojených státech</w:t>
      </w:r>
      <w:r w:rsidR="00D8760D" w:rsidRPr="00E674CC">
        <w:rPr>
          <w:rFonts w:ascii="Arial" w:eastAsia="Calibri" w:hAnsi="Arial" w:cs="Arial"/>
        </w:rPr>
        <w:t xml:space="preserve"> </w:t>
      </w:r>
      <w:r w:rsidR="00D8760D">
        <w:rPr>
          <w:rFonts w:ascii="Arial" w:eastAsia="Calibri" w:hAnsi="Arial" w:cs="Arial"/>
        </w:rPr>
        <w:t xml:space="preserve">amerických </w:t>
      </w:r>
      <w:r w:rsidR="00D8760D" w:rsidRPr="00E674CC">
        <w:rPr>
          <w:rFonts w:ascii="Arial" w:eastAsia="Calibri" w:hAnsi="Arial" w:cs="Arial"/>
        </w:rPr>
        <w:t xml:space="preserve">a </w:t>
      </w:r>
      <w:r w:rsidR="00B24A47">
        <w:rPr>
          <w:rFonts w:ascii="Arial" w:eastAsia="Calibri" w:hAnsi="Arial" w:cs="Arial"/>
        </w:rPr>
        <w:t xml:space="preserve">v </w:t>
      </w:r>
      <w:r w:rsidR="00D8760D" w:rsidRPr="00E674CC">
        <w:rPr>
          <w:rFonts w:ascii="Arial" w:eastAsia="Calibri" w:hAnsi="Arial" w:cs="Arial"/>
        </w:rPr>
        <w:t>Latinské Ameri</w:t>
      </w:r>
      <w:r w:rsidR="00D8760D">
        <w:rPr>
          <w:rFonts w:ascii="Arial" w:eastAsia="Calibri" w:hAnsi="Arial" w:cs="Arial"/>
        </w:rPr>
        <w:t>ce</w:t>
      </w:r>
      <w:r w:rsidR="00B24A47">
        <w:rPr>
          <w:rFonts w:ascii="Arial" w:eastAsia="Calibri" w:hAnsi="Arial" w:cs="Arial"/>
        </w:rPr>
        <w:t>.</w:t>
      </w:r>
      <w:r w:rsidR="00E674CC" w:rsidRPr="00E674CC">
        <w:rPr>
          <w:rFonts w:ascii="Arial" w:eastAsia="Calibri" w:hAnsi="Arial" w:cs="Arial"/>
        </w:rPr>
        <w:t xml:space="preserve"> </w:t>
      </w:r>
      <w:r w:rsidR="00B24A47">
        <w:rPr>
          <w:rFonts w:ascii="Arial" w:eastAsia="Calibri" w:hAnsi="Arial" w:cs="Arial"/>
        </w:rPr>
        <w:t>N</w:t>
      </w:r>
      <w:r w:rsidR="00E674CC" w:rsidRPr="00E674CC">
        <w:rPr>
          <w:rFonts w:ascii="Arial" w:eastAsia="Calibri" w:hAnsi="Arial" w:cs="Arial"/>
        </w:rPr>
        <w:t xml:space="preserve">a </w:t>
      </w:r>
      <w:r w:rsidR="00B24A47">
        <w:rPr>
          <w:rFonts w:ascii="Arial" w:eastAsia="Calibri" w:hAnsi="Arial" w:cs="Arial"/>
        </w:rPr>
        <w:t>těchto</w:t>
      </w:r>
      <w:r w:rsidR="00E674CC" w:rsidRPr="00E674CC">
        <w:rPr>
          <w:rFonts w:ascii="Arial" w:eastAsia="Calibri" w:hAnsi="Arial" w:cs="Arial"/>
        </w:rPr>
        <w:t xml:space="preserve"> se ČR podílí formou </w:t>
      </w:r>
      <w:r w:rsidR="00D8760D">
        <w:rPr>
          <w:rFonts w:ascii="Arial" w:eastAsia="Calibri" w:hAnsi="Arial" w:cs="Arial"/>
        </w:rPr>
        <w:t>účasti na provozu</w:t>
      </w:r>
      <w:r w:rsidR="00B24A47">
        <w:rPr>
          <w:rFonts w:ascii="Arial" w:eastAsia="Calibri" w:hAnsi="Arial" w:cs="Arial"/>
        </w:rPr>
        <w:t xml:space="preserve"> a využití</w:t>
      </w:r>
      <w:r w:rsidR="00D8760D">
        <w:rPr>
          <w:rFonts w:ascii="Arial" w:eastAsia="Calibri" w:hAnsi="Arial" w:cs="Arial"/>
        </w:rPr>
        <w:t xml:space="preserve"> a </w:t>
      </w:r>
      <w:r w:rsidR="00E674CC" w:rsidRPr="00E674CC">
        <w:rPr>
          <w:rFonts w:ascii="Arial" w:eastAsia="Calibri" w:hAnsi="Arial" w:cs="Arial"/>
        </w:rPr>
        <w:t>technologický</w:t>
      </w:r>
      <w:r w:rsidR="00D8760D">
        <w:rPr>
          <w:rFonts w:ascii="Arial" w:eastAsia="Calibri" w:hAnsi="Arial" w:cs="Arial"/>
        </w:rPr>
        <w:t>mi</w:t>
      </w:r>
      <w:r w:rsidR="00E674CC" w:rsidRPr="00E674CC">
        <w:rPr>
          <w:rFonts w:ascii="Arial" w:eastAsia="Calibri" w:hAnsi="Arial" w:cs="Arial"/>
        </w:rPr>
        <w:t xml:space="preserve"> dodávk</w:t>
      </w:r>
      <w:r w:rsidR="00D8760D">
        <w:rPr>
          <w:rFonts w:ascii="Arial" w:eastAsia="Calibri" w:hAnsi="Arial" w:cs="Arial"/>
        </w:rPr>
        <w:t>ami</w:t>
      </w:r>
      <w:r w:rsidR="00E674CC" w:rsidRPr="00E674CC">
        <w:rPr>
          <w:rFonts w:ascii="Arial" w:eastAsia="Calibri" w:hAnsi="Arial" w:cs="Arial"/>
        </w:rPr>
        <w:t xml:space="preserve"> vědecké </w:t>
      </w:r>
      <w:r w:rsidR="00B24A47">
        <w:rPr>
          <w:rFonts w:ascii="Arial" w:eastAsia="Calibri" w:hAnsi="Arial" w:cs="Arial"/>
        </w:rPr>
        <w:t xml:space="preserve">a další </w:t>
      </w:r>
      <w:r w:rsidR="00E674CC" w:rsidRPr="00E674CC">
        <w:rPr>
          <w:rFonts w:ascii="Arial" w:eastAsia="Calibri" w:hAnsi="Arial" w:cs="Arial"/>
        </w:rPr>
        <w:t>instrumentace</w:t>
      </w:r>
      <w:r w:rsidR="00D8760D">
        <w:rPr>
          <w:rFonts w:ascii="Arial" w:eastAsia="Calibri" w:hAnsi="Arial" w:cs="Arial"/>
        </w:rPr>
        <w:t>.</w:t>
      </w:r>
    </w:p>
    <w:p w14:paraId="6A348014" w14:textId="7B226697" w:rsidR="000D2148" w:rsidRDefault="000D2148" w:rsidP="00E674CC">
      <w:pPr>
        <w:spacing w:after="0" w:line="240" w:lineRule="auto"/>
        <w:jc w:val="both"/>
        <w:rPr>
          <w:rFonts w:ascii="Arial" w:eastAsia="Calibri" w:hAnsi="Arial" w:cs="Arial"/>
        </w:rPr>
      </w:pPr>
    </w:p>
    <w:p w14:paraId="71C69B33" w14:textId="3AB67E04" w:rsidR="000D2148" w:rsidRDefault="000D2148" w:rsidP="00E674CC">
      <w:pPr>
        <w:spacing w:after="0" w:line="240" w:lineRule="auto"/>
        <w:jc w:val="both"/>
        <w:rPr>
          <w:rFonts w:ascii="Arial" w:eastAsia="Calibri" w:hAnsi="Arial" w:cs="Arial"/>
        </w:rPr>
      </w:pPr>
      <w:r w:rsidRPr="000D2148">
        <w:rPr>
          <w:rFonts w:ascii="Arial" w:eastAsia="Calibri" w:hAnsi="Arial" w:cs="Arial"/>
        </w:rPr>
        <w:t>Metodika mezinárodního hodnocení velkých výzkumných infrastruktur užívaná MŠMT v</w:t>
      </w:r>
      <w:r>
        <w:rPr>
          <w:rFonts w:ascii="Arial" w:eastAsia="Calibri" w:hAnsi="Arial" w:cs="Arial"/>
        </w:rPr>
        <w:t xml:space="preserve"> jejích </w:t>
      </w:r>
      <w:r w:rsidRPr="000D2148">
        <w:rPr>
          <w:rFonts w:ascii="Arial" w:eastAsia="Calibri" w:hAnsi="Arial" w:cs="Arial"/>
        </w:rPr>
        <w:t>průběžně aktualizovaných verzích již od roku 2014 je vzhledem k přímé inspiraci v evaluačních postupech ESFRI</w:t>
      </w:r>
      <w:r>
        <w:rPr>
          <w:rFonts w:ascii="Arial" w:eastAsia="Calibri" w:hAnsi="Arial" w:cs="Arial"/>
        </w:rPr>
        <w:t>,</w:t>
      </w:r>
      <w:r w:rsidRPr="000D2148">
        <w:rPr>
          <w:rFonts w:ascii="Arial" w:eastAsia="Calibri" w:hAnsi="Arial" w:cs="Arial"/>
        </w:rPr>
        <w:t xml:space="preserve"> a </w:t>
      </w:r>
      <w:r>
        <w:rPr>
          <w:rFonts w:ascii="Arial" w:eastAsia="Calibri" w:hAnsi="Arial" w:cs="Arial"/>
        </w:rPr>
        <w:t xml:space="preserve">i </w:t>
      </w:r>
      <w:r w:rsidRPr="000D2148">
        <w:rPr>
          <w:rFonts w:ascii="Arial" w:eastAsia="Calibri" w:hAnsi="Arial" w:cs="Arial"/>
        </w:rPr>
        <w:t>s ohledem na personální obsazení mezinárodní hodnotící komise zcela nezpochybnitelnými zahraničními experty</w:t>
      </w:r>
      <w:r w:rsidR="00851EF7">
        <w:rPr>
          <w:rFonts w:ascii="Arial" w:eastAsia="Calibri" w:hAnsi="Arial" w:cs="Arial"/>
        </w:rPr>
        <w:t>,</w:t>
      </w:r>
      <w:r w:rsidRPr="000D2148">
        <w:rPr>
          <w:rFonts w:ascii="Arial" w:eastAsia="Calibri" w:hAnsi="Arial" w:cs="Arial"/>
        </w:rPr>
        <w:t xml:space="preserve"> považována v kontextu EU za </w:t>
      </w:r>
      <w:r w:rsidRPr="00BD1E0B">
        <w:rPr>
          <w:rFonts w:ascii="Arial" w:eastAsia="Calibri" w:hAnsi="Arial" w:cs="Arial"/>
          <w:b/>
          <w:bCs/>
        </w:rPr>
        <w:t>příklad dobré praxe</w:t>
      </w:r>
      <w:r w:rsidRPr="000D2148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 xml:space="preserve">a to </w:t>
      </w:r>
      <w:r w:rsidRPr="000D2148">
        <w:rPr>
          <w:rFonts w:ascii="Arial" w:eastAsia="Calibri" w:hAnsi="Arial" w:cs="Arial"/>
        </w:rPr>
        <w:t xml:space="preserve">včetně </w:t>
      </w:r>
      <w:r>
        <w:rPr>
          <w:rFonts w:ascii="Arial" w:eastAsia="Calibri" w:hAnsi="Arial" w:cs="Arial"/>
        </w:rPr>
        <w:t xml:space="preserve">souvisejících </w:t>
      </w:r>
      <w:r w:rsidRPr="000D2148">
        <w:rPr>
          <w:rFonts w:ascii="Arial" w:eastAsia="Calibri" w:hAnsi="Arial" w:cs="Arial"/>
        </w:rPr>
        <w:t xml:space="preserve">tzv. </w:t>
      </w:r>
      <w:proofErr w:type="spellStart"/>
      <w:r w:rsidRPr="000D2148">
        <w:rPr>
          <w:rFonts w:ascii="Arial" w:eastAsia="Calibri" w:hAnsi="Arial" w:cs="Arial"/>
        </w:rPr>
        <w:t>landscaping</w:t>
      </w:r>
      <w:proofErr w:type="spellEnd"/>
      <w:r>
        <w:rPr>
          <w:rFonts w:ascii="Arial" w:eastAsia="Calibri" w:hAnsi="Arial" w:cs="Arial"/>
        </w:rPr>
        <w:t xml:space="preserve"> </w:t>
      </w:r>
      <w:r w:rsidRPr="000D2148">
        <w:rPr>
          <w:rFonts w:ascii="Arial" w:eastAsia="Calibri" w:hAnsi="Arial" w:cs="Arial"/>
        </w:rPr>
        <w:t>/</w:t>
      </w:r>
      <w:r>
        <w:rPr>
          <w:rFonts w:ascii="Arial" w:eastAsia="Calibri" w:hAnsi="Arial" w:cs="Arial"/>
        </w:rPr>
        <w:t xml:space="preserve"> </w:t>
      </w:r>
      <w:r w:rsidRPr="000D2148">
        <w:rPr>
          <w:rFonts w:ascii="Arial" w:eastAsia="Calibri" w:hAnsi="Arial" w:cs="Arial"/>
        </w:rPr>
        <w:t xml:space="preserve">roadmapping procedur. Výzkumně-infrastrukturní politika rozvíjená MŠMT je používaná např. i jako </w:t>
      </w:r>
      <w:r w:rsidRPr="00BD1E0B">
        <w:rPr>
          <w:rFonts w:ascii="Arial" w:eastAsia="Calibri" w:hAnsi="Arial" w:cs="Arial"/>
        </w:rPr>
        <w:t>referenční příklad dobré praxe</w:t>
      </w:r>
      <w:r w:rsidRPr="000D2148">
        <w:rPr>
          <w:rFonts w:ascii="Arial" w:eastAsia="Calibri" w:hAnsi="Arial" w:cs="Arial"/>
        </w:rPr>
        <w:t xml:space="preserve"> ve výstupech analýzy výzkumně-infrastrukturní politiky Řecka, </w:t>
      </w:r>
      <w:r w:rsidR="00851EF7">
        <w:rPr>
          <w:rFonts w:ascii="Arial" w:eastAsia="Calibri" w:hAnsi="Arial" w:cs="Arial"/>
        </w:rPr>
        <w:t>již</w:t>
      </w:r>
      <w:r w:rsidRPr="000D2148">
        <w:rPr>
          <w:rFonts w:ascii="Arial" w:eastAsia="Calibri" w:hAnsi="Arial" w:cs="Arial"/>
        </w:rPr>
        <w:t xml:space="preserve"> </w:t>
      </w:r>
      <w:r w:rsidR="00851EF7">
        <w:rPr>
          <w:rFonts w:ascii="Arial" w:eastAsia="Calibri" w:hAnsi="Arial" w:cs="Arial"/>
        </w:rPr>
        <w:t xml:space="preserve">v </w:t>
      </w:r>
      <w:r w:rsidRPr="000D2148">
        <w:rPr>
          <w:rFonts w:ascii="Arial" w:eastAsia="Calibri" w:hAnsi="Arial" w:cs="Arial"/>
        </w:rPr>
        <w:t xml:space="preserve">roce 2022 realizovalo tzv. </w:t>
      </w:r>
      <w:proofErr w:type="spellStart"/>
      <w:r w:rsidRPr="000D2148">
        <w:rPr>
          <w:rFonts w:ascii="Arial" w:eastAsia="Calibri" w:hAnsi="Arial" w:cs="Arial"/>
        </w:rPr>
        <w:t>Policy</w:t>
      </w:r>
      <w:proofErr w:type="spellEnd"/>
      <w:r w:rsidRPr="000D2148">
        <w:rPr>
          <w:rFonts w:ascii="Arial" w:eastAsia="Calibri" w:hAnsi="Arial" w:cs="Arial"/>
        </w:rPr>
        <w:t xml:space="preserve"> Support Facility, analyticko-poradenský nástroj Evropské komise k reformám národních výzkumných a</w:t>
      </w:r>
      <w:r>
        <w:rPr>
          <w:rFonts w:ascii="Arial" w:eastAsia="Calibri" w:hAnsi="Arial" w:cs="Arial"/>
        </w:rPr>
        <w:t> </w:t>
      </w:r>
      <w:r w:rsidRPr="000D2148">
        <w:rPr>
          <w:rFonts w:ascii="Arial" w:eastAsia="Calibri" w:hAnsi="Arial" w:cs="Arial"/>
        </w:rPr>
        <w:t>inovačních politik členských států EU.</w:t>
      </w:r>
    </w:p>
    <w:p w14:paraId="5EDD25A6" w14:textId="77777777" w:rsidR="008360F6" w:rsidRDefault="008360F6" w:rsidP="008360F6">
      <w:pPr>
        <w:spacing w:after="0" w:line="240" w:lineRule="auto"/>
        <w:jc w:val="both"/>
        <w:rPr>
          <w:rFonts w:ascii="Arial" w:eastAsia="Calibri" w:hAnsi="Arial" w:cs="Arial"/>
        </w:rPr>
      </w:pPr>
    </w:p>
    <w:p w14:paraId="27E65132" w14:textId="3068C146" w:rsidR="008360F6" w:rsidRDefault="00D8760D" w:rsidP="008360F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 neposlední řadě ú</w:t>
      </w:r>
      <w:r w:rsidR="008360F6" w:rsidRPr="008360F6">
        <w:rPr>
          <w:rFonts w:ascii="Arial" w:eastAsia="Calibri" w:hAnsi="Arial" w:cs="Arial"/>
        </w:rPr>
        <w:t xml:space="preserve">spěchy výzkumně-infrastrukturní politiky </w:t>
      </w:r>
      <w:r>
        <w:rPr>
          <w:rFonts w:ascii="Arial" w:eastAsia="Calibri" w:hAnsi="Arial" w:cs="Arial"/>
        </w:rPr>
        <w:t xml:space="preserve">MŠMT a ČR </w:t>
      </w:r>
      <w:r w:rsidR="008360F6" w:rsidRPr="008360F6">
        <w:rPr>
          <w:rFonts w:ascii="Arial" w:eastAsia="Calibri" w:hAnsi="Arial" w:cs="Arial"/>
        </w:rPr>
        <w:t>dokládá skutečnost, že RNDr. Jan Hrušák, CSc., zmocněnec MŠMT pro výzkumné infrastruktury</w:t>
      </w:r>
      <w:r>
        <w:rPr>
          <w:rFonts w:ascii="Arial" w:eastAsia="Calibri" w:hAnsi="Arial" w:cs="Arial"/>
        </w:rPr>
        <w:t xml:space="preserve"> </w:t>
      </w:r>
      <w:r w:rsidRPr="00F5446D">
        <w:rPr>
          <w:rFonts w:ascii="Arial" w:eastAsia="Calibri" w:hAnsi="Arial" w:cs="Arial"/>
        </w:rPr>
        <w:t xml:space="preserve">a seniorní </w:t>
      </w:r>
      <w:r>
        <w:rPr>
          <w:rFonts w:ascii="Arial" w:eastAsia="Calibri" w:hAnsi="Arial" w:cs="Arial"/>
        </w:rPr>
        <w:t>vědec</w:t>
      </w:r>
      <w:r w:rsidRPr="00F5446D">
        <w:rPr>
          <w:rFonts w:ascii="Arial" w:eastAsia="Calibri" w:hAnsi="Arial" w:cs="Arial"/>
        </w:rPr>
        <w:t xml:space="preserve"> působící v Ústavu fyzikální chemie J. Heyrovského AV ČR, </w:t>
      </w:r>
      <w:proofErr w:type="spellStart"/>
      <w:r w:rsidRPr="00F5446D">
        <w:rPr>
          <w:rFonts w:ascii="Arial" w:eastAsia="Calibri" w:hAnsi="Arial" w:cs="Arial"/>
        </w:rPr>
        <w:t>v.v.i</w:t>
      </w:r>
      <w:proofErr w:type="spellEnd"/>
      <w:r w:rsidRPr="00F5446D">
        <w:rPr>
          <w:rFonts w:ascii="Arial" w:eastAsia="Calibri" w:hAnsi="Arial" w:cs="Arial"/>
        </w:rPr>
        <w:t>.</w:t>
      </w:r>
      <w:r w:rsidR="008360F6" w:rsidRPr="008360F6">
        <w:rPr>
          <w:rFonts w:ascii="Arial" w:eastAsia="Calibri" w:hAnsi="Arial" w:cs="Arial"/>
        </w:rPr>
        <w:t xml:space="preserve">, jako </w:t>
      </w:r>
      <w:r w:rsidR="008360F6" w:rsidRPr="00B24A47">
        <w:rPr>
          <w:rFonts w:ascii="Arial" w:eastAsia="Calibri" w:hAnsi="Arial" w:cs="Arial"/>
          <w:b/>
          <w:bCs/>
        </w:rPr>
        <w:t>delegát ČR předsedal v letech 2019</w:t>
      </w:r>
      <w:r w:rsidRPr="00B24A47">
        <w:rPr>
          <w:rFonts w:ascii="Arial" w:eastAsia="Calibri" w:hAnsi="Arial" w:cs="Arial"/>
          <w:b/>
          <w:bCs/>
        </w:rPr>
        <w:t>–</w:t>
      </w:r>
      <w:r w:rsidR="008360F6" w:rsidRPr="00B24A47">
        <w:rPr>
          <w:rFonts w:ascii="Arial" w:eastAsia="Calibri" w:hAnsi="Arial" w:cs="Arial"/>
          <w:b/>
          <w:bCs/>
        </w:rPr>
        <w:t>2021 ESFRI</w:t>
      </w:r>
      <w:r w:rsidR="008360F6" w:rsidRPr="008360F6">
        <w:rPr>
          <w:rFonts w:ascii="Arial" w:eastAsia="Calibri" w:hAnsi="Arial" w:cs="Arial"/>
        </w:rPr>
        <w:t xml:space="preserve"> a ČR koordinovala rozvoj evropského výzkumně-infrastrukturního ekosystému z pozice jednoho z klíčových stakeholderů v EU.</w:t>
      </w:r>
    </w:p>
    <w:p w14:paraId="3DCB69DB" w14:textId="3FA8BEB7" w:rsidR="00B24A47" w:rsidRDefault="00B24A47" w:rsidP="008360F6">
      <w:pPr>
        <w:spacing w:after="0" w:line="240" w:lineRule="auto"/>
        <w:jc w:val="both"/>
        <w:rPr>
          <w:rFonts w:ascii="Arial" w:eastAsia="Calibri" w:hAnsi="Arial" w:cs="Arial"/>
        </w:rPr>
      </w:pPr>
    </w:p>
    <w:p w14:paraId="47A9493F" w14:textId="4C772B66" w:rsidR="00B24A47" w:rsidRDefault="00D20DBB" w:rsidP="008360F6">
      <w:pPr>
        <w:spacing w:after="0" w:line="240" w:lineRule="auto"/>
        <w:jc w:val="both"/>
        <w:rPr>
          <w:rFonts w:ascii="Arial" w:eastAsia="Calibri" w:hAnsi="Arial" w:cs="Arial"/>
        </w:rPr>
      </w:pPr>
      <w:r w:rsidRPr="00D20DBB">
        <w:rPr>
          <w:rFonts w:ascii="Arial" w:eastAsia="Calibri" w:hAnsi="Arial" w:cs="Arial"/>
        </w:rPr>
        <w:t xml:space="preserve">Při </w:t>
      </w:r>
      <w:r>
        <w:rPr>
          <w:rFonts w:ascii="Arial" w:eastAsia="Calibri" w:hAnsi="Arial" w:cs="Arial"/>
        </w:rPr>
        <w:t xml:space="preserve">schvalování financování velkých výzkumných infrastruktur na období let 2023–2026 </w:t>
      </w:r>
      <w:r w:rsidRPr="00D20DBB">
        <w:rPr>
          <w:rFonts w:ascii="Arial" w:eastAsia="Calibri" w:hAnsi="Arial" w:cs="Arial"/>
        </w:rPr>
        <w:t>je</w:t>
      </w:r>
      <w:r>
        <w:rPr>
          <w:rFonts w:ascii="Arial" w:eastAsia="Calibri" w:hAnsi="Arial" w:cs="Arial"/>
        </w:rPr>
        <w:t xml:space="preserve"> tedy</w:t>
      </w:r>
      <w:r w:rsidRPr="00D20DBB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nutné</w:t>
      </w:r>
      <w:r w:rsidRPr="00D20DBB">
        <w:rPr>
          <w:rFonts w:ascii="Arial" w:eastAsia="Calibri" w:hAnsi="Arial" w:cs="Arial"/>
        </w:rPr>
        <w:t xml:space="preserve"> dosáhnout </w:t>
      </w:r>
      <w:r w:rsidRPr="0034057D">
        <w:rPr>
          <w:rFonts w:ascii="Arial" w:eastAsia="Calibri" w:hAnsi="Arial" w:cs="Arial"/>
        </w:rPr>
        <w:t>řešení reflektujícího vysokou kvalitu velkých výzkumných infrastruktur,</w:t>
      </w:r>
      <w:r w:rsidRPr="00D20DBB">
        <w:rPr>
          <w:rFonts w:ascii="Arial" w:eastAsia="Calibri" w:hAnsi="Arial" w:cs="Arial"/>
          <w:b/>
          <w:bCs/>
        </w:rPr>
        <w:t xml:space="preserve"> pozici ČR v</w:t>
      </w:r>
      <w:r w:rsidR="0034057D">
        <w:rPr>
          <w:rFonts w:ascii="Arial" w:eastAsia="Calibri" w:hAnsi="Arial" w:cs="Arial"/>
          <w:b/>
          <w:bCs/>
        </w:rPr>
        <w:t xml:space="preserve"> rámci </w:t>
      </w:r>
      <w:r w:rsidRPr="00D20DBB">
        <w:rPr>
          <w:rFonts w:ascii="Arial" w:eastAsia="Calibri" w:hAnsi="Arial" w:cs="Arial"/>
          <w:b/>
          <w:bCs/>
        </w:rPr>
        <w:t xml:space="preserve">ERA </w:t>
      </w:r>
      <w:r w:rsidRPr="0034057D">
        <w:rPr>
          <w:rFonts w:ascii="Arial" w:eastAsia="Calibri" w:hAnsi="Arial" w:cs="Arial"/>
          <w:b/>
          <w:bCs/>
        </w:rPr>
        <w:t xml:space="preserve">a </w:t>
      </w:r>
      <w:r w:rsidR="0034057D">
        <w:rPr>
          <w:rFonts w:ascii="Arial" w:eastAsia="Calibri" w:hAnsi="Arial" w:cs="Arial"/>
          <w:b/>
          <w:bCs/>
        </w:rPr>
        <w:t>v celosvětovém</w:t>
      </w:r>
      <w:r w:rsidRPr="0034057D">
        <w:rPr>
          <w:rFonts w:ascii="Arial" w:eastAsia="Calibri" w:hAnsi="Arial" w:cs="Arial"/>
          <w:b/>
          <w:bCs/>
        </w:rPr>
        <w:t xml:space="preserve"> výzkumném a inovačním ekosystému</w:t>
      </w:r>
      <w:r w:rsidRPr="00D20DBB">
        <w:rPr>
          <w:rFonts w:ascii="Arial" w:eastAsia="Calibri" w:hAnsi="Arial" w:cs="Arial"/>
          <w:b/>
          <w:bCs/>
        </w:rPr>
        <w:t xml:space="preserve"> </w:t>
      </w:r>
      <w:r w:rsidRPr="0034057D">
        <w:rPr>
          <w:rFonts w:ascii="Arial" w:eastAsia="Calibri" w:hAnsi="Arial" w:cs="Arial"/>
        </w:rPr>
        <w:t xml:space="preserve">a </w:t>
      </w:r>
      <w:r w:rsidR="001E2EC9">
        <w:rPr>
          <w:rFonts w:ascii="Arial" w:eastAsia="Calibri" w:hAnsi="Arial" w:cs="Arial"/>
        </w:rPr>
        <w:t xml:space="preserve">dále i </w:t>
      </w:r>
      <w:r w:rsidRPr="0034057D">
        <w:rPr>
          <w:rFonts w:ascii="Arial" w:eastAsia="Calibri" w:hAnsi="Arial" w:cs="Arial"/>
        </w:rPr>
        <w:t>roli ČR</w:t>
      </w:r>
      <w:r w:rsidR="0034057D">
        <w:rPr>
          <w:rFonts w:ascii="Arial" w:eastAsia="Calibri" w:hAnsi="Arial" w:cs="Arial"/>
        </w:rPr>
        <w:t xml:space="preserve">, </w:t>
      </w:r>
      <w:r w:rsidRPr="0034057D">
        <w:rPr>
          <w:rFonts w:ascii="Arial" w:eastAsia="Calibri" w:hAnsi="Arial" w:cs="Arial"/>
        </w:rPr>
        <w:t xml:space="preserve">jako předsednického státu Rady EU </w:t>
      </w:r>
      <w:r w:rsidR="0034057D">
        <w:rPr>
          <w:rFonts w:ascii="Arial" w:eastAsia="Calibri" w:hAnsi="Arial" w:cs="Arial"/>
        </w:rPr>
        <w:t xml:space="preserve">v </w:t>
      </w:r>
      <w:r w:rsidR="001E2EC9">
        <w:rPr>
          <w:rFonts w:ascii="Arial" w:eastAsia="Calibri" w:hAnsi="Arial" w:cs="Arial"/>
        </w:rPr>
        <w:t>2</w:t>
      </w:r>
      <w:r w:rsidRPr="0034057D">
        <w:rPr>
          <w:rFonts w:ascii="Arial" w:eastAsia="Calibri" w:hAnsi="Arial" w:cs="Arial"/>
        </w:rPr>
        <w:t>. pol. roku 2022</w:t>
      </w:r>
      <w:r w:rsidRPr="00D20DBB">
        <w:rPr>
          <w:rFonts w:ascii="Arial" w:eastAsia="Calibri" w:hAnsi="Arial" w:cs="Arial"/>
        </w:rPr>
        <w:t xml:space="preserve">, kdy </w:t>
      </w:r>
      <w:r>
        <w:rPr>
          <w:rFonts w:ascii="Arial" w:eastAsia="Calibri" w:hAnsi="Arial" w:cs="Arial"/>
        </w:rPr>
        <w:t>jsou</w:t>
      </w:r>
      <w:r w:rsidRPr="00D20DBB">
        <w:rPr>
          <w:rFonts w:ascii="Arial" w:eastAsia="Calibri" w:hAnsi="Arial" w:cs="Arial"/>
        </w:rPr>
        <w:t xml:space="preserve"> výzkumné infrastruktur</w:t>
      </w:r>
      <w:r>
        <w:rPr>
          <w:rFonts w:ascii="Arial" w:eastAsia="Calibri" w:hAnsi="Arial" w:cs="Arial"/>
        </w:rPr>
        <w:t>y</w:t>
      </w:r>
      <w:r w:rsidRPr="00D20DBB">
        <w:rPr>
          <w:rFonts w:ascii="Arial" w:eastAsia="Calibri" w:hAnsi="Arial" w:cs="Arial"/>
        </w:rPr>
        <w:t xml:space="preserve"> </w:t>
      </w:r>
      <w:r w:rsidR="001E2EC9">
        <w:rPr>
          <w:rFonts w:ascii="Arial" w:eastAsia="Calibri" w:hAnsi="Arial" w:cs="Arial"/>
        </w:rPr>
        <w:t xml:space="preserve">zcela </w:t>
      </w:r>
      <w:r>
        <w:rPr>
          <w:rFonts w:ascii="Arial" w:eastAsia="Calibri" w:hAnsi="Arial" w:cs="Arial"/>
        </w:rPr>
        <w:t>stěžejní</w:t>
      </w:r>
      <w:r w:rsidRPr="00D20DBB">
        <w:rPr>
          <w:rFonts w:ascii="Arial" w:eastAsia="Calibri" w:hAnsi="Arial" w:cs="Arial"/>
        </w:rPr>
        <w:t xml:space="preserve"> prioritou </w:t>
      </w:r>
      <w:r>
        <w:rPr>
          <w:rFonts w:ascii="Arial" w:eastAsia="Calibri" w:hAnsi="Arial" w:cs="Arial"/>
        </w:rPr>
        <w:t xml:space="preserve">výzkumné politiky EU </w:t>
      </w:r>
      <w:r w:rsidRPr="00D20DBB">
        <w:rPr>
          <w:rFonts w:ascii="Arial" w:eastAsia="Calibri" w:hAnsi="Arial" w:cs="Arial"/>
        </w:rPr>
        <w:t xml:space="preserve">a ČR </w:t>
      </w:r>
      <w:r w:rsidR="00E02EAE">
        <w:rPr>
          <w:rFonts w:ascii="Arial" w:eastAsia="Calibri" w:hAnsi="Arial" w:cs="Arial"/>
        </w:rPr>
        <w:t>hostitelem</w:t>
      </w:r>
      <w:r w:rsidRPr="00D20DBB">
        <w:rPr>
          <w:rFonts w:ascii="Arial" w:eastAsia="Calibri" w:hAnsi="Arial" w:cs="Arial"/>
        </w:rPr>
        <w:t xml:space="preserve"> celosvětov</w:t>
      </w:r>
      <w:r w:rsidR="00E02EAE">
        <w:rPr>
          <w:rFonts w:ascii="Arial" w:eastAsia="Calibri" w:hAnsi="Arial" w:cs="Arial"/>
        </w:rPr>
        <w:t>é</w:t>
      </w:r>
      <w:r w:rsidRPr="00D20DBB">
        <w:rPr>
          <w:rFonts w:ascii="Arial" w:eastAsia="Calibri" w:hAnsi="Arial" w:cs="Arial"/>
        </w:rPr>
        <w:t xml:space="preserve"> konferenc</w:t>
      </w:r>
      <w:r w:rsidR="00E02EAE">
        <w:rPr>
          <w:rFonts w:ascii="Arial" w:eastAsia="Calibri" w:hAnsi="Arial" w:cs="Arial"/>
        </w:rPr>
        <w:t>e</w:t>
      </w:r>
      <w:r w:rsidRPr="00D20DBB">
        <w:rPr>
          <w:rFonts w:ascii="Arial" w:eastAsia="Calibri" w:hAnsi="Arial" w:cs="Arial"/>
        </w:rPr>
        <w:t xml:space="preserve"> k výzkumným infrastrukturám ICRI 2022.</w:t>
      </w:r>
    </w:p>
    <w:p w14:paraId="12C8BCCD" w14:textId="77777777" w:rsidR="008C56A1" w:rsidRDefault="008C56A1" w:rsidP="008360F6">
      <w:pPr>
        <w:spacing w:after="0" w:line="240" w:lineRule="auto"/>
        <w:jc w:val="both"/>
        <w:rPr>
          <w:rFonts w:ascii="Arial" w:eastAsia="Calibri" w:hAnsi="Arial" w:cs="Arial"/>
        </w:rPr>
      </w:pPr>
    </w:p>
    <w:p w14:paraId="688CA205" w14:textId="1126D6A5" w:rsidR="00CD6113" w:rsidRPr="00EB7026" w:rsidRDefault="00CD6113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Financování provozních nákladů</w:t>
      </w:r>
    </w:p>
    <w:p w14:paraId="21B4E9CD" w14:textId="48737BD1" w:rsidR="00CD6113" w:rsidRDefault="00CD6113" w:rsidP="008360F6">
      <w:pPr>
        <w:spacing w:after="0" w:line="240" w:lineRule="auto"/>
        <w:jc w:val="both"/>
        <w:rPr>
          <w:rFonts w:ascii="Arial" w:eastAsia="Calibri" w:hAnsi="Arial" w:cs="Arial"/>
        </w:rPr>
      </w:pPr>
    </w:p>
    <w:p w14:paraId="415F2FC3" w14:textId="52129007" w:rsidR="0013218B" w:rsidRDefault="008742DE" w:rsidP="00257D1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Prvotním</w:t>
      </w:r>
      <w:r w:rsidR="00257D17" w:rsidRPr="008742DE">
        <w:rPr>
          <w:rFonts w:ascii="Arial" w:eastAsia="Calibri" w:hAnsi="Arial" w:cs="Arial"/>
          <w:b/>
          <w:bCs/>
        </w:rPr>
        <w:t xml:space="preserve"> n</w:t>
      </w:r>
      <w:r w:rsidR="00257D17" w:rsidRPr="00257D17">
        <w:rPr>
          <w:rFonts w:ascii="Arial" w:eastAsia="Calibri" w:hAnsi="Arial" w:cs="Arial"/>
          <w:b/>
          <w:bCs/>
        </w:rPr>
        <w:t>ávrhem</w:t>
      </w:r>
      <w:r w:rsidR="00257D17" w:rsidRPr="00257D17">
        <w:rPr>
          <w:rFonts w:ascii="Arial" w:eastAsia="Calibri" w:hAnsi="Arial" w:cs="Arial"/>
        </w:rPr>
        <w:t xml:space="preserve"> MŠMT </w:t>
      </w:r>
      <w:r w:rsidR="00257D17">
        <w:rPr>
          <w:rFonts w:ascii="Arial" w:eastAsia="Calibri" w:hAnsi="Arial" w:cs="Arial"/>
        </w:rPr>
        <w:t xml:space="preserve">bylo </w:t>
      </w:r>
      <w:r w:rsidR="00257D17" w:rsidRPr="00257D17">
        <w:rPr>
          <w:rFonts w:ascii="Arial" w:eastAsia="Calibri" w:hAnsi="Arial" w:cs="Arial"/>
        </w:rPr>
        <w:t>financování nejkvalitnějších</w:t>
      </w:r>
      <w:r w:rsidR="00F74B48">
        <w:rPr>
          <w:rFonts w:ascii="Arial" w:eastAsia="Calibri" w:hAnsi="Arial" w:cs="Arial"/>
        </w:rPr>
        <w:t>,</w:t>
      </w:r>
      <w:r w:rsidR="00257D17" w:rsidRPr="00257D17">
        <w:rPr>
          <w:rFonts w:ascii="Arial" w:eastAsia="Calibri" w:hAnsi="Arial" w:cs="Arial"/>
        </w:rPr>
        <w:t xml:space="preserve"> již etablovaných projektů velkých výzkumných infrastruktur </w:t>
      </w:r>
      <w:r w:rsidR="00257D17">
        <w:rPr>
          <w:rFonts w:ascii="Arial" w:eastAsia="Calibri" w:hAnsi="Arial" w:cs="Arial"/>
        </w:rPr>
        <w:t>(</w:t>
      </w:r>
      <w:r w:rsidR="00257D17" w:rsidRPr="00257D17">
        <w:rPr>
          <w:rFonts w:ascii="Arial" w:eastAsia="Calibri" w:hAnsi="Arial" w:cs="Arial"/>
        </w:rPr>
        <w:t>tz</w:t>
      </w:r>
      <w:r w:rsidR="00257D17">
        <w:rPr>
          <w:rFonts w:ascii="Arial" w:eastAsia="Calibri" w:hAnsi="Arial" w:cs="Arial"/>
        </w:rPr>
        <w:t>n.,</w:t>
      </w:r>
      <w:r w:rsidR="00257D17" w:rsidRPr="00257D17">
        <w:rPr>
          <w:rFonts w:ascii="Arial" w:eastAsia="Calibri" w:hAnsi="Arial" w:cs="Arial"/>
        </w:rPr>
        <w:t xml:space="preserve"> interim hodnocených na stupnici nejvyšší známkou 5</w:t>
      </w:r>
      <w:r w:rsidR="00257D17">
        <w:rPr>
          <w:rFonts w:ascii="Arial" w:eastAsia="Calibri" w:hAnsi="Arial" w:cs="Arial"/>
        </w:rPr>
        <w:t>)</w:t>
      </w:r>
      <w:r w:rsidR="00257D17" w:rsidRPr="00257D17">
        <w:rPr>
          <w:rFonts w:ascii="Arial" w:eastAsia="Calibri" w:hAnsi="Arial" w:cs="Arial"/>
        </w:rPr>
        <w:t xml:space="preserve"> ve výši 85 % žádaných finančních prostředků</w:t>
      </w:r>
      <w:r w:rsidR="00257D17">
        <w:rPr>
          <w:rFonts w:ascii="Arial" w:eastAsia="Calibri" w:hAnsi="Arial" w:cs="Arial"/>
        </w:rPr>
        <w:t xml:space="preserve"> podpory</w:t>
      </w:r>
      <w:r w:rsidR="00F74B48">
        <w:rPr>
          <w:rFonts w:ascii="Arial" w:eastAsia="Calibri" w:hAnsi="Arial" w:cs="Arial"/>
        </w:rPr>
        <w:t>;</w:t>
      </w:r>
      <w:r w:rsidR="00257D17" w:rsidRPr="00257D17">
        <w:rPr>
          <w:rFonts w:ascii="Arial" w:eastAsia="Calibri" w:hAnsi="Arial" w:cs="Arial"/>
        </w:rPr>
        <w:t xml:space="preserve"> vysoce kvalitních</w:t>
      </w:r>
      <w:r w:rsidR="00F74B48">
        <w:rPr>
          <w:rFonts w:ascii="Arial" w:eastAsia="Calibri" w:hAnsi="Arial" w:cs="Arial"/>
        </w:rPr>
        <w:t>,</w:t>
      </w:r>
      <w:r w:rsidR="00257D17" w:rsidRPr="00257D17">
        <w:rPr>
          <w:rFonts w:ascii="Arial" w:eastAsia="Calibri" w:hAnsi="Arial" w:cs="Arial"/>
        </w:rPr>
        <w:t xml:space="preserve"> již etablovaných projektů velkých výzkumných infrastruktur </w:t>
      </w:r>
      <w:r w:rsidR="00257D17">
        <w:rPr>
          <w:rFonts w:ascii="Arial" w:eastAsia="Calibri" w:hAnsi="Arial" w:cs="Arial"/>
        </w:rPr>
        <w:t>(</w:t>
      </w:r>
      <w:r w:rsidR="00257D17" w:rsidRPr="00257D17">
        <w:rPr>
          <w:rFonts w:ascii="Arial" w:eastAsia="Calibri" w:hAnsi="Arial" w:cs="Arial"/>
        </w:rPr>
        <w:t>tzn., interim hodnocených na stupnici známkou 4</w:t>
      </w:r>
      <w:r w:rsidR="00257D17">
        <w:rPr>
          <w:rFonts w:ascii="Arial" w:eastAsia="Calibri" w:hAnsi="Arial" w:cs="Arial"/>
        </w:rPr>
        <w:t>)</w:t>
      </w:r>
      <w:r w:rsidR="00257D17" w:rsidRPr="00257D17">
        <w:rPr>
          <w:rFonts w:ascii="Arial" w:eastAsia="Calibri" w:hAnsi="Arial" w:cs="Arial"/>
        </w:rPr>
        <w:t xml:space="preserve"> ve výši 70 % žádaných finančních prostředků</w:t>
      </w:r>
      <w:r w:rsidR="00257D17">
        <w:rPr>
          <w:rFonts w:ascii="Arial" w:eastAsia="Calibri" w:hAnsi="Arial" w:cs="Arial"/>
        </w:rPr>
        <w:t xml:space="preserve"> podpory</w:t>
      </w:r>
      <w:r w:rsidR="00F74B48">
        <w:rPr>
          <w:rFonts w:ascii="Arial" w:eastAsia="Calibri" w:hAnsi="Arial" w:cs="Arial"/>
        </w:rPr>
        <w:t>;</w:t>
      </w:r>
      <w:r w:rsidR="00257D17" w:rsidRPr="00257D17">
        <w:rPr>
          <w:rFonts w:ascii="Arial" w:eastAsia="Calibri" w:hAnsi="Arial" w:cs="Arial"/>
        </w:rPr>
        <w:t xml:space="preserve"> a nejkvalitnějších a vysoce kvalitních </w:t>
      </w:r>
      <w:r w:rsidR="00B629A8">
        <w:rPr>
          <w:rFonts w:ascii="Arial" w:eastAsia="Calibri" w:hAnsi="Arial" w:cs="Arial"/>
        </w:rPr>
        <w:t xml:space="preserve">nových </w:t>
      </w:r>
      <w:r w:rsidR="00257D17" w:rsidRPr="00257D17">
        <w:rPr>
          <w:rFonts w:ascii="Arial" w:eastAsia="Calibri" w:hAnsi="Arial" w:cs="Arial"/>
        </w:rPr>
        <w:t xml:space="preserve">návrhů projektů velkých výzkumných infrastruktur </w:t>
      </w:r>
      <w:r w:rsidR="00B629A8">
        <w:rPr>
          <w:rFonts w:ascii="Arial" w:eastAsia="Calibri" w:hAnsi="Arial" w:cs="Arial"/>
        </w:rPr>
        <w:t>(</w:t>
      </w:r>
      <w:r w:rsidR="00257D17" w:rsidRPr="00257D17">
        <w:rPr>
          <w:rFonts w:ascii="Arial" w:eastAsia="Calibri" w:hAnsi="Arial" w:cs="Arial"/>
        </w:rPr>
        <w:t>tzn.</w:t>
      </w:r>
      <w:r w:rsidR="00B629A8">
        <w:rPr>
          <w:rFonts w:ascii="Arial" w:eastAsia="Calibri" w:hAnsi="Arial" w:cs="Arial"/>
        </w:rPr>
        <w:t>,</w:t>
      </w:r>
      <w:r w:rsidR="00257D17" w:rsidRPr="00257D17">
        <w:rPr>
          <w:rFonts w:ascii="Arial" w:eastAsia="Calibri" w:hAnsi="Arial" w:cs="Arial"/>
        </w:rPr>
        <w:t xml:space="preserve"> ex-ante hodnocených</w:t>
      </w:r>
      <w:r w:rsidR="00B629A8">
        <w:rPr>
          <w:rFonts w:ascii="Arial" w:eastAsia="Calibri" w:hAnsi="Arial" w:cs="Arial"/>
        </w:rPr>
        <w:t xml:space="preserve">, jež </w:t>
      </w:r>
      <w:r w:rsidR="00257D17" w:rsidRPr="00257D17">
        <w:rPr>
          <w:rFonts w:ascii="Arial" w:eastAsia="Calibri" w:hAnsi="Arial" w:cs="Arial"/>
        </w:rPr>
        <w:t xml:space="preserve">na stupnici </w:t>
      </w:r>
      <w:r w:rsidR="00B629A8">
        <w:rPr>
          <w:rFonts w:ascii="Arial" w:eastAsia="Calibri" w:hAnsi="Arial" w:cs="Arial"/>
        </w:rPr>
        <w:t xml:space="preserve">obdržely </w:t>
      </w:r>
      <w:r w:rsidR="00257D17" w:rsidRPr="00257D17">
        <w:rPr>
          <w:rFonts w:ascii="Arial" w:eastAsia="Calibri" w:hAnsi="Arial" w:cs="Arial"/>
        </w:rPr>
        <w:t>známk</w:t>
      </w:r>
      <w:r w:rsidR="00B629A8">
        <w:rPr>
          <w:rFonts w:ascii="Arial" w:eastAsia="Calibri" w:hAnsi="Arial" w:cs="Arial"/>
        </w:rPr>
        <w:t>y</w:t>
      </w:r>
      <w:r w:rsidR="00257D17" w:rsidRPr="00257D17">
        <w:rPr>
          <w:rFonts w:ascii="Arial" w:eastAsia="Calibri" w:hAnsi="Arial" w:cs="Arial"/>
        </w:rPr>
        <w:t xml:space="preserve"> 5 a 4</w:t>
      </w:r>
      <w:r w:rsidR="00B629A8">
        <w:rPr>
          <w:rFonts w:ascii="Arial" w:eastAsia="Calibri" w:hAnsi="Arial" w:cs="Arial"/>
        </w:rPr>
        <w:t>)</w:t>
      </w:r>
      <w:r w:rsidR="00257D17" w:rsidRPr="00257D17">
        <w:rPr>
          <w:rFonts w:ascii="Arial" w:eastAsia="Calibri" w:hAnsi="Arial" w:cs="Arial"/>
        </w:rPr>
        <w:t xml:space="preserve"> ve výši 50 % žádaných finančních prostředků</w:t>
      </w:r>
      <w:r w:rsidR="00B629A8">
        <w:rPr>
          <w:rFonts w:ascii="Arial" w:eastAsia="Calibri" w:hAnsi="Arial" w:cs="Arial"/>
        </w:rPr>
        <w:t xml:space="preserve"> podpory</w:t>
      </w:r>
      <w:r w:rsidR="0091714E">
        <w:rPr>
          <w:rFonts w:ascii="Arial" w:eastAsia="Calibri" w:hAnsi="Arial" w:cs="Arial"/>
        </w:rPr>
        <w:t>.</w:t>
      </w:r>
      <w:r w:rsidR="000B3829">
        <w:rPr>
          <w:rFonts w:ascii="Arial" w:eastAsia="Calibri" w:hAnsi="Arial" w:cs="Arial"/>
        </w:rPr>
        <w:t xml:space="preserve"> </w:t>
      </w:r>
      <w:r w:rsidR="0091714E">
        <w:rPr>
          <w:rFonts w:ascii="Arial" w:eastAsia="Calibri" w:hAnsi="Arial" w:cs="Arial"/>
        </w:rPr>
        <w:t>U</w:t>
      </w:r>
      <w:r w:rsidR="000B3829">
        <w:rPr>
          <w:rFonts w:ascii="Arial" w:eastAsia="Calibri" w:hAnsi="Arial" w:cs="Arial"/>
        </w:rPr>
        <w:t>ž tento scénář financování spočív</w:t>
      </w:r>
      <w:r w:rsidR="0091714E">
        <w:rPr>
          <w:rFonts w:ascii="Arial" w:eastAsia="Calibri" w:hAnsi="Arial" w:cs="Arial"/>
        </w:rPr>
        <w:t>al</w:t>
      </w:r>
      <w:r w:rsidR="000B3829">
        <w:rPr>
          <w:rFonts w:ascii="Arial" w:eastAsia="Calibri" w:hAnsi="Arial" w:cs="Arial"/>
        </w:rPr>
        <w:t xml:space="preserve"> v podstatných redukcích oproti optimální, žádané podpoře</w:t>
      </w:r>
      <w:r w:rsidR="00257D17" w:rsidRPr="00257D17">
        <w:rPr>
          <w:rFonts w:ascii="Arial" w:eastAsia="Calibri" w:hAnsi="Arial" w:cs="Arial"/>
        </w:rPr>
        <w:t>.</w:t>
      </w:r>
    </w:p>
    <w:p w14:paraId="62289A47" w14:textId="77777777" w:rsidR="0013218B" w:rsidRDefault="0013218B" w:rsidP="00257D17">
      <w:pPr>
        <w:spacing w:after="0" w:line="240" w:lineRule="auto"/>
        <w:jc w:val="both"/>
        <w:rPr>
          <w:rFonts w:ascii="Arial" w:eastAsia="Calibri" w:hAnsi="Arial" w:cs="Arial"/>
        </w:rPr>
      </w:pPr>
    </w:p>
    <w:p w14:paraId="0A0B6C13" w14:textId="36C31DC0" w:rsidR="00B6257E" w:rsidRDefault="00B629A8" w:rsidP="00257D1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MŠMT </w:t>
      </w:r>
      <w:r w:rsidR="000B3829">
        <w:rPr>
          <w:rFonts w:ascii="Arial" w:eastAsia="Calibri" w:hAnsi="Arial" w:cs="Arial"/>
        </w:rPr>
        <w:t xml:space="preserve">poté </w:t>
      </w:r>
      <w:r>
        <w:rPr>
          <w:rFonts w:ascii="Arial" w:eastAsia="Calibri" w:hAnsi="Arial" w:cs="Arial"/>
        </w:rPr>
        <w:t xml:space="preserve">předložilo </w:t>
      </w:r>
      <w:r w:rsidR="0091714E">
        <w:rPr>
          <w:rFonts w:ascii="Arial" w:eastAsia="Calibri" w:hAnsi="Arial" w:cs="Arial"/>
        </w:rPr>
        <w:t xml:space="preserve">také </w:t>
      </w:r>
      <w:r w:rsidR="0013218B">
        <w:rPr>
          <w:rFonts w:ascii="Arial" w:eastAsia="Calibri" w:hAnsi="Arial" w:cs="Arial"/>
        </w:rPr>
        <w:t>tzv.</w:t>
      </w:r>
      <w:r>
        <w:rPr>
          <w:rFonts w:ascii="Arial" w:eastAsia="Calibri" w:hAnsi="Arial" w:cs="Arial"/>
        </w:rPr>
        <w:t xml:space="preserve"> </w:t>
      </w:r>
      <w:r w:rsidRPr="00B629A8">
        <w:rPr>
          <w:rFonts w:ascii="Arial" w:eastAsia="Calibri" w:hAnsi="Arial" w:cs="Arial"/>
          <w:b/>
          <w:bCs/>
        </w:rPr>
        <w:t>krizový scénář</w:t>
      </w:r>
      <w:r w:rsidR="00A9665B">
        <w:rPr>
          <w:rStyle w:val="Znakapoznpodarou"/>
          <w:rFonts w:ascii="Arial" w:eastAsia="Calibri" w:hAnsi="Arial" w:cs="Arial"/>
          <w:b/>
          <w:bCs/>
        </w:rPr>
        <w:footnoteReference w:id="4"/>
      </w:r>
      <w:r w:rsidRPr="00B629A8">
        <w:rPr>
          <w:rFonts w:ascii="Arial" w:eastAsia="Calibri" w:hAnsi="Arial" w:cs="Arial"/>
          <w:b/>
          <w:bCs/>
        </w:rPr>
        <w:t xml:space="preserve"> </w:t>
      </w:r>
      <w:r w:rsidRPr="0013218B">
        <w:rPr>
          <w:rFonts w:ascii="Arial" w:eastAsia="Calibri" w:hAnsi="Arial" w:cs="Arial"/>
        </w:rPr>
        <w:t>financování vel</w:t>
      </w:r>
      <w:r w:rsidR="0013218B" w:rsidRPr="0013218B">
        <w:rPr>
          <w:rFonts w:ascii="Arial" w:eastAsia="Calibri" w:hAnsi="Arial" w:cs="Arial"/>
        </w:rPr>
        <w:t>k</w:t>
      </w:r>
      <w:r w:rsidRPr="0013218B">
        <w:rPr>
          <w:rFonts w:ascii="Arial" w:eastAsia="Calibri" w:hAnsi="Arial" w:cs="Arial"/>
        </w:rPr>
        <w:t>ý</w:t>
      </w:r>
      <w:r w:rsidR="0013218B" w:rsidRPr="0013218B">
        <w:rPr>
          <w:rFonts w:ascii="Arial" w:eastAsia="Calibri" w:hAnsi="Arial" w:cs="Arial"/>
        </w:rPr>
        <w:t>c</w:t>
      </w:r>
      <w:r w:rsidRPr="0013218B">
        <w:rPr>
          <w:rFonts w:ascii="Arial" w:eastAsia="Calibri" w:hAnsi="Arial" w:cs="Arial"/>
        </w:rPr>
        <w:t>h výzkumných infrastruktur</w:t>
      </w:r>
      <w:r>
        <w:rPr>
          <w:rFonts w:ascii="Arial" w:eastAsia="Calibri" w:hAnsi="Arial" w:cs="Arial"/>
        </w:rPr>
        <w:t xml:space="preserve"> </w:t>
      </w:r>
      <w:r w:rsidR="0013218B">
        <w:rPr>
          <w:rFonts w:ascii="Arial" w:eastAsia="Calibri" w:hAnsi="Arial" w:cs="Arial"/>
        </w:rPr>
        <w:t xml:space="preserve">žádající pro výše uvedené kvalitativní kategorie interim hodnocených projektů 75 a 60 % jimi </w:t>
      </w:r>
      <w:r w:rsidR="0013218B" w:rsidRPr="00257D17">
        <w:rPr>
          <w:rFonts w:ascii="Arial" w:eastAsia="Calibri" w:hAnsi="Arial" w:cs="Arial"/>
        </w:rPr>
        <w:t>žádaných finančních prostředků</w:t>
      </w:r>
      <w:r w:rsidR="0013218B">
        <w:rPr>
          <w:rFonts w:ascii="Arial" w:eastAsia="Calibri" w:hAnsi="Arial" w:cs="Arial"/>
        </w:rPr>
        <w:t xml:space="preserve"> podpory, aniž měly být financovány jakékoliv z nových návrhů projektů velkých výzkumných infrastruktur.</w:t>
      </w:r>
      <w:r w:rsidR="00F424FE">
        <w:rPr>
          <w:rFonts w:ascii="Arial" w:eastAsia="Calibri" w:hAnsi="Arial" w:cs="Arial"/>
        </w:rPr>
        <w:t xml:space="preserve"> Jedn</w:t>
      </w:r>
      <w:r w:rsidR="006A2834">
        <w:rPr>
          <w:rFonts w:ascii="Arial" w:eastAsia="Calibri" w:hAnsi="Arial" w:cs="Arial"/>
        </w:rPr>
        <w:t>alo</w:t>
      </w:r>
      <w:r w:rsidR="00F424FE">
        <w:rPr>
          <w:rFonts w:ascii="Arial" w:eastAsia="Calibri" w:hAnsi="Arial" w:cs="Arial"/>
        </w:rPr>
        <w:t xml:space="preserve"> se t</w:t>
      </w:r>
      <w:r w:rsidR="006A2834">
        <w:rPr>
          <w:rFonts w:ascii="Arial" w:eastAsia="Calibri" w:hAnsi="Arial" w:cs="Arial"/>
        </w:rPr>
        <w:t>ak</w:t>
      </w:r>
      <w:r w:rsidR="00F424FE">
        <w:rPr>
          <w:rFonts w:ascii="Arial" w:eastAsia="Calibri" w:hAnsi="Arial" w:cs="Arial"/>
        </w:rPr>
        <w:t xml:space="preserve"> o scénář, který </w:t>
      </w:r>
      <w:r w:rsidR="006A2834">
        <w:rPr>
          <w:rFonts w:ascii="Arial" w:eastAsia="Calibri" w:hAnsi="Arial" w:cs="Arial"/>
        </w:rPr>
        <w:t xml:space="preserve">by </w:t>
      </w:r>
      <w:r w:rsidR="00F424FE">
        <w:rPr>
          <w:rFonts w:ascii="Arial" w:eastAsia="Calibri" w:hAnsi="Arial" w:cs="Arial"/>
        </w:rPr>
        <w:t>již m</w:t>
      </w:r>
      <w:r w:rsidR="006A2834">
        <w:rPr>
          <w:rFonts w:ascii="Arial" w:eastAsia="Calibri" w:hAnsi="Arial" w:cs="Arial"/>
        </w:rPr>
        <w:t>ěl i</w:t>
      </w:r>
      <w:r w:rsidR="00F424FE">
        <w:rPr>
          <w:rFonts w:ascii="Arial" w:eastAsia="Calibri" w:hAnsi="Arial" w:cs="Arial"/>
        </w:rPr>
        <w:t xml:space="preserve"> poměrně dramatické dopady do provozu velkých výzkumných infrastruktur oproti stávajícímu stavu, tzn., s vysokou pravděpodobností by vedl k nutnosti </w:t>
      </w:r>
      <w:r w:rsidR="00CC2882">
        <w:rPr>
          <w:rFonts w:ascii="Arial" w:eastAsia="Calibri" w:hAnsi="Arial" w:cs="Arial"/>
        </w:rPr>
        <w:t>revidovat</w:t>
      </w:r>
      <w:r w:rsidR="00F424FE">
        <w:rPr>
          <w:rFonts w:ascii="Arial" w:eastAsia="Calibri" w:hAnsi="Arial" w:cs="Arial"/>
        </w:rPr>
        <w:t xml:space="preserve"> činnosti a </w:t>
      </w:r>
      <w:r w:rsidR="00CC2882">
        <w:rPr>
          <w:rFonts w:ascii="Arial" w:eastAsia="Calibri" w:hAnsi="Arial" w:cs="Arial"/>
        </w:rPr>
        <w:t xml:space="preserve">tím i </w:t>
      </w:r>
      <w:r w:rsidR="00F424FE">
        <w:rPr>
          <w:rFonts w:ascii="Arial" w:eastAsia="Calibri" w:hAnsi="Arial" w:cs="Arial"/>
        </w:rPr>
        <w:t>rozsah poskytovaných služeb velkých výzkumných infrastruktur</w:t>
      </w:r>
      <w:r w:rsidR="0091714E">
        <w:rPr>
          <w:rFonts w:ascii="Arial" w:eastAsia="Calibri" w:hAnsi="Arial" w:cs="Arial"/>
        </w:rPr>
        <w:t>.</w:t>
      </w:r>
      <w:r w:rsidR="0013218B">
        <w:rPr>
          <w:rFonts w:ascii="Arial" w:eastAsia="Calibri" w:hAnsi="Arial" w:cs="Arial"/>
        </w:rPr>
        <w:t xml:space="preserve"> </w:t>
      </w:r>
    </w:p>
    <w:p w14:paraId="22A7B526" w14:textId="77777777" w:rsidR="00B6257E" w:rsidRDefault="00B6257E" w:rsidP="00257D17">
      <w:pPr>
        <w:spacing w:after="0" w:line="240" w:lineRule="auto"/>
        <w:jc w:val="both"/>
        <w:rPr>
          <w:rFonts w:ascii="Arial" w:eastAsia="Calibri" w:hAnsi="Arial" w:cs="Arial"/>
        </w:rPr>
      </w:pPr>
    </w:p>
    <w:p w14:paraId="5C0B402B" w14:textId="06E38A93" w:rsidR="00B6257E" w:rsidRDefault="0013218B" w:rsidP="0013218B">
      <w:pPr>
        <w:spacing w:after="0" w:line="240" w:lineRule="auto"/>
        <w:jc w:val="both"/>
        <w:rPr>
          <w:rFonts w:ascii="Arial" w:eastAsia="Calibri" w:hAnsi="Arial" w:cs="Arial"/>
        </w:rPr>
      </w:pPr>
      <w:r w:rsidRPr="00933002">
        <w:rPr>
          <w:rFonts w:ascii="Arial" w:eastAsia="Calibri" w:hAnsi="Arial" w:cs="Arial"/>
        </w:rPr>
        <w:t xml:space="preserve">Usnesením vlády ČR ze dne 1. června 2022 č. 452 </w:t>
      </w:r>
      <w:r>
        <w:rPr>
          <w:rFonts w:ascii="Arial" w:eastAsia="Calibri" w:hAnsi="Arial" w:cs="Arial"/>
        </w:rPr>
        <w:t>byl</w:t>
      </w:r>
      <w:r w:rsidR="002560CD">
        <w:rPr>
          <w:rFonts w:ascii="Arial" w:eastAsia="Calibri" w:hAnsi="Arial" w:cs="Arial"/>
        </w:rPr>
        <w:t xml:space="preserve"> </w:t>
      </w:r>
      <w:r w:rsidR="002560CD" w:rsidRPr="008742DE">
        <w:rPr>
          <w:rFonts w:ascii="Arial" w:eastAsia="Calibri" w:hAnsi="Arial" w:cs="Arial"/>
          <w:b/>
          <w:bCs/>
        </w:rPr>
        <w:t>vzat na vědomí</w:t>
      </w:r>
      <w:r>
        <w:rPr>
          <w:rFonts w:ascii="Arial" w:eastAsia="Calibri" w:hAnsi="Arial" w:cs="Arial"/>
        </w:rPr>
        <w:t xml:space="preserve"> </w:t>
      </w:r>
      <w:r w:rsidRPr="00933002">
        <w:rPr>
          <w:rFonts w:ascii="Arial" w:eastAsia="Calibri" w:hAnsi="Arial" w:cs="Arial"/>
          <w:b/>
          <w:bCs/>
        </w:rPr>
        <w:t xml:space="preserve">návrh výdajů státního rozpočtu ČR na </w:t>
      </w:r>
      <w:r>
        <w:rPr>
          <w:rFonts w:ascii="Arial" w:eastAsia="Calibri" w:hAnsi="Arial" w:cs="Arial"/>
          <w:b/>
          <w:bCs/>
        </w:rPr>
        <w:t>VaVaI</w:t>
      </w:r>
      <w:r w:rsidRPr="00933002">
        <w:rPr>
          <w:rFonts w:ascii="Arial" w:eastAsia="Calibri" w:hAnsi="Arial" w:cs="Arial"/>
        </w:rPr>
        <w:t xml:space="preserve"> pro rok 2023, jeho střednědobý výhled na léta 2024</w:t>
      </w:r>
      <w:r>
        <w:rPr>
          <w:rFonts w:ascii="Arial" w:eastAsia="Calibri" w:hAnsi="Arial" w:cs="Arial"/>
        </w:rPr>
        <w:t>–</w:t>
      </w:r>
      <w:r w:rsidRPr="00933002">
        <w:rPr>
          <w:rFonts w:ascii="Arial" w:eastAsia="Calibri" w:hAnsi="Arial" w:cs="Arial"/>
        </w:rPr>
        <w:t xml:space="preserve">2025 a jeho dlouhodobý výhled do roku 2029, </w:t>
      </w:r>
      <w:r w:rsidR="008742DE">
        <w:rPr>
          <w:rFonts w:ascii="Arial" w:eastAsia="Calibri" w:hAnsi="Arial" w:cs="Arial"/>
        </w:rPr>
        <w:t xml:space="preserve">jako východisko </w:t>
      </w:r>
      <w:r w:rsidR="0091714E">
        <w:rPr>
          <w:rFonts w:ascii="Arial" w:eastAsia="Calibri" w:hAnsi="Arial" w:cs="Arial"/>
        </w:rPr>
        <w:t>pro</w:t>
      </w:r>
      <w:r w:rsidR="008742DE">
        <w:rPr>
          <w:rFonts w:ascii="Arial" w:eastAsia="Calibri" w:hAnsi="Arial" w:cs="Arial"/>
        </w:rPr>
        <w:t xml:space="preserve"> vedení dalších jednání o rozpočtových rámcích.</w:t>
      </w:r>
    </w:p>
    <w:p w14:paraId="263A6749" w14:textId="77777777" w:rsidR="00B6257E" w:rsidRDefault="00B6257E" w:rsidP="0013218B">
      <w:pPr>
        <w:spacing w:after="0" w:line="240" w:lineRule="auto"/>
        <w:jc w:val="both"/>
        <w:rPr>
          <w:rFonts w:ascii="Arial" w:eastAsia="Calibri" w:hAnsi="Arial" w:cs="Arial"/>
        </w:rPr>
      </w:pPr>
    </w:p>
    <w:p w14:paraId="00F0AAF4" w14:textId="7CAB0E75" w:rsidR="00011737" w:rsidRDefault="00011737" w:rsidP="00011737">
      <w:pPr>
        <w:spacing w:after="0" w:line="240" w:lineRule="auto"/>
        <w:jc w:val="both"/>
        <w:rPr>
          <w:rFonts w:ascii="Arial" w:eastAsia="Calibri" w:hAnsi="Arial" w:cs="Arial"/>
        </w:rPr>
      </w:pPr>
      <w:r w:rsidRPr="00011737">
        <w:rPr>
          <w:rFonts w:ascii="Arial" w:eastAsia="Calibri" w:hAnsi="Arial" w:cs="Arial"/>
        </w:rPr>
        <w:t>Svým</w:t>
      </w:r>
      <w:r>
        <w:rPr>
          <w:rFonts w:ascii="Arial" w:eastAsia="Calibri" w:hAnsi="Arial" w:cs="Arial"/>
          <w:b/>
          <w:bCs/>
        </w:rPr>
        <w:t xml:space="preserve"> u</w:t>
      </w:r>
      <w:r w:rsidRPr="00011737">
        <w:rPr>
          <w:rFonts w:ascii="Arial" w:eastAsia="Calibri" w:hAnsi="Arial" w:cs="Arial"/>
          <w:b/>
          <w:bCs/>
        </w:rPr>
        <w:t>snesením ze dne 26. září 2022 č. 808</w:t>
      </w:r>
      <w:r>
        <w:rPr>
          <w:rFonts w:ascii="Arial" w:eastAsia="Calibri" w:hAnsi="Arial" w:cs="Arial"/>
        </w:rPr>
        <w:t xml:space="preserve"> </w:t>
      </w:r>
      <w:r w:rsidRPr="00011737">
        <w:rPr>
          <w:rFonts w:ascii="Arial" w:eastAsia="Calibri" w:hAnsi="Arial" w:cs="Arial"/>
        </w:rPr>
        <w:t xml:space="preserve">k návrhu zákona o státním rozpočtu </w:t>
      </w:r>
      <w:r>
        <w:rPr>
          <w:rFonts w:ascii="Arial" w:eastAsia="Calibri" w:hAnsi="Arial" w:cs="Arial"/>
        </w:rPr>
        <w:t>ČR</w:t>
      </w:r>
      <w:r w:rsidRPr="00011737">
        <w:rPr>
          <w:rFonts w:ascii="Arial" w:eastAsia="Calibri" w:hAnsi="Arial" w:cs="Arial"/>
        </w:rPr>
        <w:t xml:space="preserve"> na rok 2023</w:t>
      </w:r>
      <w:r>
        <w:rPr>
          <w:rFonts w:ascii="Arial" w:eastAsia="Calibri" w:hAnsi="Arial" w:cs="Arial"/>
        </w:rPr>
        <w:t xml:space="preserve"> </w:t>
      </w:r>
      <w:r w:rsidRPr="00011737">
        <w:rPr>
          <w:rFonts w:ascii="Arial" w:eastAsia="Calibri" w:hAnsi="Arial" w:cs="Arial"/>
        </w:rPr>
        <w:t>a střednědobého výhledu státního rozpočtu Č</w:t>
      </w:r>
      <w:r>
        <w:rPr>
          <w:rFonts w:ascii="Arial" w:eastAsia="Calibri" w:hAnsi="Arial" w:cs="Arial"/>
        </w:rPr>
        <w:t xml:space="preserve">R </w:t>
      </w:r>
      <w:r w:rsidRPr="00011737">
        <w:rPr>
          <w:rFonts w:ascii="Arial" w:eastAsia="Calibri" w:hAnsi="Arial" w:cs="Arial"/>
        </w:rPr>
        <w:t>na léta 2024 a 2025</w:t>
      </w:r>
      <w:r>
        <w:rPr>
          <w:rFonts w:ascii="Arial" w:eastAsia="Calibri" w:hAnsi="Arial" w:cs="Arial"/>
        </w:rPr>
        <w:t xml:space="preserve"> schválila vláda ČR účelovou podporu velkých výzkumných infrastruktur ve výši</w:t>
      </w:r>
      <w:r w:rsidR="00D21155">
        <w:rPr>
          <w:rFonts w:ascii="Arial" w:eastAsia="Calibri" w:hAnsi="Arial" w:cs="Arial"/>
        </w:rPr>
        <w:t xml:space="preserve"> </w:t>
      </w:r>
      <w:r w:rsidR="00BB5534">
        <w:rPr>
          <w:rFonts w:ascii="Arial" w:eastAsia="Calibri" w:hAnsi="Arial" w:cs="Arial"/>
        </w:rPr>
        <w:t>1 720 mil. Kč ročně</w:t>
      </w:r>
      <w:r>
        <w:rPr>
          <w:rFonts w:ascii="Arial" w:eastAsia="Calibri" w:hAnsi="Arial" w:cs="Arial"/>
        </w:rPr>
        <w:t>.</w:t>
      </w:r>
    </w:p>
    <w:p w14:paraId="5F4F143B" w14:textId="77777777" w:rsidR="0091714E" w:rsidRDefault="0091714E" w:rsidP="0013218B">
      <w:p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</w:p>
    <w:p w14:paraId="5BAA5C76" w14:textId="5B0B173F" w:rsidR="0013218B" w:rsidRPr="00753323" w:rsidRDefault="00753323" w:rsidP="0013218B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  <w:r w:rsidRPr="00753323">
        <w:rPr>
          <w:rFonts w:ascii="Arial" w:eastAsia="Calibri" w:hAnsi="Arial" w:cs="Arial"/>
          <w:b/>
          <w:bCs/>
          <w:u w:val="single"/>
        </w:rPr>
        <w:t xml:space="preserve">MŠMT </w:t>
      </w:r>
      <w:r w:rsidR="00E27C4B">
        <w:rPr>
          <w:rFonts w:ascii="Arial" w:eastAsia="Calibri" w:hAnsi="Arial" w:cs="Arial"/>
          <w:b/>
          <w:bCs/>
          <w:u w:val="single"/>
        </w:rPr>
        <w:t xml:space="preserve">bude </w:t>
      </w:r>
      <w:r w:rsidR="00EE39A0">
        <w:rPr>
          <w:rFonts w:ascii="Arial" w:eastAsia="Calibri" w:hAnsi="Arial" w:cs="Arial"/>
          <w:b/>
          <w:bCs/>
          <w:u w:val="single"/>
        </w:rPr>
        <w:t xml:space="preserve">přesto </w:t>
      </w:r>
      <w:r w:rsidR="00E27C4B">
        <w:rPr>
          <w:rFonts w:ascii="Arial" w:eastAsia="Calibri" w:hAnsi="Arial" w:cs="Arial"/>
          <w:b/>
          <w:bCs/>
          <w:u w:val="single"/>
        </w:rPr>
        <w:t>dále usilovat o</w:t>
      </w:r>
      <w:r w:rsidRPr="00753323">
        <w:rPr>
          <w:rFonts w:ascii="Arial" w:eastAsia="Calibri" w:hAnsi="Arial" w:cs="Arial"/>
          <w:b/>
          <w:bCs/>
          <w:u w:val="single"/>
        </w:rPr>
        <w:t xml:space="preserve"> </w:t>
      </w:r>
      <w:r w:rsidR="008742DE" w:rsidRPr="00753323">
        <w:rPr>
          <w:rFonts w:ascii="Arial" w:eastAsia="Calibri" w:hAnsi="Arial" w:cs="Arial"/>
          <w:b/>
          <w:bCs/>
          <w:u w:val="single"/>
        </w:rPr>
        <w:t xml:space="preserve">navýšení rozpočtových alokací na účelovou podporu velkých výzkumných infrastruktur na hodnoty </w:t>
      </w:r>
      <w:r w:rsidRPr="00753323">
        <w:rPr>
          <w:rFonts w:ascii="Arial" w:eastAsia="Calibri" w:hAnsi="Arial" w:cs="Arial"/>
          <w:b/>
          <w:bCs/>
          <w:u w:val="single"/>
        </w:rPr>
        <w:t>reflektující alespoň</w:t>
      </w:r>
      <w:r w:rsidR="008742DE" w:rsidRPr="00753323">
        <w:rPr>
          <w:rFonts w:ascii="Arial" w:eastAsia="Calibri" w:hAnsi="Arial" w:cs="Arial"/>
          <w:b/>
          <w:bCs/>
          <w:u w:val="single"/>
        </w:rPr>
        <w:t xml:space="preserve"> tzv. krizov</w:t>
      </w:r>
      <w:r w:rsidRPr="00753323">
        <w:rPr>
          <w:rFonts w:ascii="Arial" w:eastAsia="Calibri" w:hAnsi="Arial" w:cs="Arial"/>
          <w:b/>
          <w:bCs/>
          <w:u w:val="single"/>
        </w:rPr>
        <w:t>ý</w:t>
      </w:r>
      <w:r w:rsidR="008742DE" w:rsidRPr="00753323">
        <w:rPr>
          <w:rFonts w:ascii="Arial" w:eastAsia="Calibri" w:hAnsi="Arial" w:cs="Arial"/>
          <w:b/>
          <w:bCs/>
          <w:u w:val="single"/>
        </w:rPr>
        <w:t xml:space="preserve"> scénář</w:t>
      </w:r>
      <w:r w:rsidR="00E27C4B">
        <w:rPr>
          <w:rFonts w:ascii="Arial" w:eastAsia="Calibri" w:hAnsi="Arial" w:cs="Arial"/>
          <w:b/>
          <w:bCs/>
          <w:u w:val="single"/>
        </w:rPr>
        <w:t>, jakkoliv MŠMT současně plně respektuj</w:t>
      </w:r>
      <w:r w:rsidR="00E27C4B" w:rsidRPr="00E27C4B">
        <w:rPr>
          <w:rFonts w:ascii="Arial" w:eastAsia="Calibri" w:hAnsi="Arial" w:cs="Arial"/>
          <w:b/>
          <w:bCs/>
          <w:u w:val="single"/>
        </w:rPr>
        <w:t>e usnesení vlády ČR ze dne 26. září 2022 č. 808</w:t>
      </w:r>
      <w:r w:rsidR="008742DE" w:rsidRPr="003212CA">
        <w:rPr>
          <w:rFonts w:ascii="Arial" w:eastAsia="Calibri" w:hAnsi="Arial" w:cs="Arial"/>
          <w:b/>
          <w:bCs/>
        </w:rPr>
        <w:t>.</w:t>
      </w:r>
    </w:p>
    <w:p w14:paraId="0AF4225A" w14:textId="77777777" w:rsidR="00C4544B" w:rsidRDefault="00C4544B" w:rsidP="00933002">
      <w:pPr>
        <w:spacing w:after="0" w:line="240" w:lineRule="auto"/>
        <w:jc w:val="both"/>
        <w:rPr>
          <w:rFonts w:ascii="Arial" w:eastAsia="Calibri" w:hAnsi="Arial" w:cs="Arial"/>
        </w:rPr>
      </w:pPr>
    </w:p>
    <w:p w14:paraId="31580A94" w14:textId="672B80AC" w:rsidR="00ED0CC3" w:rsidRDefault="00753323" w:rsidP="00933002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</w:t>
      </w:r>
      <w:r w:rsidR="00933002">
        <w:rPr>
          <w:rFonts w:ascii="Arial" w:eastAsia="Calibri" w:hAnsi="Arial" w:cs="Arial"/>
        </w:rPr>
        <w:t xml:space="preserve">ávrh </w:t>
      </w:r>
      <w:r>
        <w:rPr>
          <w:rFonts w:ascii="Arial" w:eastAsia="Calibri" w:hAnsi="Arial" w:cs="Arial"/>
        </w:rPr>
        <w:t xml:space="preserve">předkládaný </w:t>
      </w:r>
      <w:r w:rsidR="003212CA">
        <w:rPr>
          <w:rFonts w:ascii="Arial" w:eastAsia="Calibri" w:hAnsi="Arial" w:cs="Arial"/>
        </w:rPr>
        <w:t xml:space="preserve">ze strany </w:t>
      </w:r>
      <w:r>
        <w:rPr>
          <w:rFonts w:ascii="Arial" w:eastAsia="Calibri" w:hAnsi="Arial" w:cs="Arial"/>
        </w:rPr>
        <w:t xml:space="preserve">MŠMT ke schválení </w:t>
      </w:r>
      <w:r w:rsidR="003212CA">
        <w:rPr>
          <w:rFonts w:ascii="Arial" w:eastAsia="Calibri" w:hAnsi="Arial" w:cs="Arial"/>
        </w:rPr>
        <w:t xml:space="preserve">vládou ČR </w:t>
      </w:r>
      <w:r>
        <w:rPr>
          <w:rFonts w:ascii="Arial" w:eastAsia="Calibri" w:hAnsi="Arial" w:cs="Arial"/>
        </w:rPr>
        <w:t xml:space="preserve">spočívá v </w:t>
      </w:r>
      <w:r w:rsidR="00871A98">
        <w:rPr>
          <w:rFonts w:ascii="Arial" w:eastAsia="Calibri" w:hAnsi="Arial" w:cs="Arial"/>
        </w:rPr>
        <w:t>poskytování</w:t>
      </w:r>
      <w:r w:rsidR="00933002">
        <w:rPr>
          <w:rFonts w:ascii="Arial" w:eastAsia="Calibri" w:hAnsi="Arial" w:cs="Arial"/>
        </w:rPr>
        <w:t xml:space="preserve"> účelové podpory v</w:t>
      </w:r>
      <w:r w:rsidR="00CD6113" w:rsidRPr="00CD6113">
        <w:rPr>
          <w:rFonts w:ascii="Arial" w:eastAsia="Calibri" w:hAnsi="Arial" w:cs="Arial"/>
        </w:rPr>
        <w:t>elk</w:t>
      </w:r>
      <w:r w:rsidR="00933002">
        <w:rPr>
          <w:rFonts w:ascii="Arial" w:eastAsia="Calibri" w:hAnsi="Arial" w:cs="Arial"/>
        </w:rPr>
        <w:t>ý</w:t>
      </w:r>
      <w:r w:rsidR="00ED3CCC">
        <w:rPr>
          <w:rFonts w:ascii="Arial" w:eastAsia="Calibri" w:hAnsi="Arial" w:cs="Arial"/>
        </w:rPr>
        <w:t>m</w:t>
      </w:r>
      <w:r w:rsidR="00CD6113" w:rsidRPr="00CD6113">
        <w:rPr>
          <w:rFonts w:ascii="Arial" w:eastAsia="Calibri" w:hAnsi="Arial" w:cs="Arial"/>
        </w:rPr>
        <w:t xml:space="preserve"> výzkumn</w:t>
      </w:r>
      <w:r w:rsidR="00933002">
        <w:rPr>
          <w:rFonts w:ascii="Arial" w:eastAsia="Calibri" w:hAnsi="Arial" w:cs="Arial"/>
        </w:rPr>
        <w:t>ý</w:t>
      </w:r>
      <w:r w:rsidR="00455DE0">
        <w:rPr>
          <w:rFonts w:ascii="Arial" w:eastAsia="Calibri" w:hAnsi="Arial" w:cs="Arial"/>
        </w:rPr>
        <w:t>m</w:t>
      </w:r>
      <w:r w:rsidR="00CD6113" w:rsidRPr="00CD6113">
        <w:rPr>
          <w:rFonts w:ascii="Arial" w:eastAsia="Calibri" w:hAnsi="Arial" w:cs="Arial"/>
        </w:rPr>
        <w:t xml:space="preserve"> infrastruktur</w:t>
      </w:r>
      <w:r w:rsidR="00455DE0">
        <w:rPr>
          <w:rFonts w:ascii="Arial" w:eastAsia="Calibri" w:hAnsi="Arial" w:cs="Arial"/>
        </w:rPr>
        <w:t>ám</w:t>
      </w:r>
      <w:r w:rsidR="00933002">
        <w:rPr>
          <w:rFonts w:ascii="Arial" w:eastAsia="Calibri" w:hAnsi="Arial" w:cs="Arial"/>
        </w:rPr>
        <w:t xml:space="preserve"> </w:t>
      </w:r>
      <w:r w:rsidR="00871A98">
        <w:rPr>
          <w:rFonts w:ascii="Arial" w:eastAsia="Calibri" w:hAnsi="Arial" w:cs="Arial"/>
        </w:rPr>
        <w:t>v</w:t>
      </w:r>
      <w:r w:rsidR="00CD6113" w:rsidRPr="00CD6113">
        <w:rPr>
          <w:rFonts w:ascii="Arial" w:eastAsia="Calibri" w:hAnsi="Arial" w:cs="Arial"/>
        </w:rPr>
        <w:t xml:space="preserve"> nadcházející</w:t>
      </w:r>
      <w:r w:rsidR="00871A98">
        <w:rPr>
          <w:rFonts w:ascii="Arial" w:eastAsia="Calibri" w:hAnsi="Arial" w:cs="Arial"/>
        </w:rPr>
        <w:t>m</w:t>
      </w:r>
      <w:r w:rsidR="00CD6113" w:rsidRPr="00CD6113">
        <w:rPr>
          <w:rFonts w:ascii="Arial" w:eastAsia="Calibri" w:hAnsi="Arial" w:cs="Arial"/>
        </w:rPr>
        <w:t xml:space="preserve"> </w:t>
      </w:r>
      <w:r w:rsidR="00CD6113" w:rsidRPr="00933002">
        <w:rPr>
          <w:rFonts w:ascii="Arial" w:eastAsia="Calibri" w:hAnsi="Arial" w:cs="Arial"/>
          <w:b/>
          <w:bCs/>
        </w:rPr>
        <w:t>čtyřleté</w:t>
      </w:r>
      <w:r w:rsidR="00871A98">
        <w:rPr>
          <w:rFonts w:ascii="Arial" w:eastAsia="Calibri" w:hAnsi="Arial" w:cs="Arial"/>
          <w:b/>
          <w:bCs/>
        </w:rPr>
        <w:t>m</w:t>
      </w:r>
      <w:r w:rsidR="00CD6113" w:rsidRPr="00933002">
        <w:rPr>
          <w:rFonts w:ascii="Arial" w:eastAsia="Calibri" w:hAnsi="Arial" w:cs="Arial"/>
          <w:b/>
          <w:bCs/>
        </w:rPr>
        <w:t xml:space="preserve"> období, tzn., </w:t>
      </w:r>
      <w:r w:rsidR="00871A98">
        <w:rPr>
          <w:rFonts w:ascii="Arial" w:eastAsia="Calibri" w:hAnsi="Arial" w:cs="Arial"/>
          <w:b/>
          <w:bCs/>
        </w:rPr>
        <w:t>v</w:t>
      </w:r>
      <w:r w:rsidR="00CD6113" w:rsidRPr="00933002">
        <w:rPr>
          <w:rFonts w:ascii="Arial" w:eastAsia="Calibri" w:hAnsi="Arial" w:cs="Arial"/>
          <w:b/>
          <w:bCs/>
        </w:rPr>
        <w:t xml:space="preserve"> l</w:t>
      </w:r>
      <w:r w:rsidR="00871A98">
        <w:rPr>
          <w:rFonts w:ascii="Arial" w:eastAsia="Calibri" w:hAnsi="Arial" w:cs="Arial"/>
          <w:b/>
          <w:bCs/>
        </w:rPr>
        <w:t>etech</w:t>
      </w:r>
      <w:r w:rsidR="00CD6113" w:rsidRPr="00933002">
        <w:rPr>
          <w:rFonts w:ascii="Arial" w:eastAsia="Calibri" w:hAnsi="Arial" w:cs="Arial"/>
          <w:b/>
          <w:bCs/>
        </w:rPr>
        <w:t xml:space="preserve"> 2023</w:t>
      </w:r>
      <w:r w:rsidR="00933002" w:rsidRPr="00933002">
        <w:rPr>
          <w:rFonts w:ascii="Arial" w:eastAsia="Calibri" w:hAnsi="Arial" w:cs="Arial"/>
          <w:b/>
          <w:bCs/>
        </w:rPr>
        <w:t>–</w:t>
      </w:r>
      <w:r w:rsidR="00CD6113" w:rsidRPr="00933002">
        <w:rPr>
          <w:rFonts w:ascii="Arial" w:eastAsia="Calibri" w:hAnsi="Arial" w:cs="Arial"/>
          <w:b/>
          <w:bCs/>
        </w:rPr>
        <w:t>2026</w:t>
      </w:r>
      <w:r w:rsidR="00CD6113" w:rsidRPr="00933002">
        <w:rPr>
          <w:rFonts w:ascii="Arial" w:eastAsia="Calibri" w:hAnsi="Arial" w:cs="Arial"/>
        </w:rPr>
        <w:t>.</w:t>
      </w:r>
    </w:p>
    <w:p w14:paraId="5A0B17C7" w14:textId="77777777" w:rsidR="00ED0CC3" w:rsidRDefault="00ED0CC3" w:rsidP="00933002">
      <w:pPr>
        <w:spacing w:after="0" w:line="240" w:lineRule="auto"/>
        <w:jc w:val="both"/>
        <w:rPr>
          <w:rFonts w:ascii="Arial" w:eastAsia="Calibri" w:hAnsi="Arial" w:cs="Arial"/>
        </w:rPr>
      </w:pPr>
    </w:p>
    <w:p w14:paraId="0639C08C" w14:textId="18E2D85F" w:rsidR="00ED0CC3" w:rsidRDefault="00CD6113" w:rsidP="00933002">
      <w:pPr>
        <w:spacing w:after="0" w:line="240" w:lineRule="auto"/>
        <w:jc w:val="both"/>
        <w:rPr>
          <w:rFonts w:ascii="Arial" w:eastAsia="Calibri" w:hAnsi="Arial" w:cs="Arial"/>
        </w:rPr>
      </w:pPr>
      <w:r w:rsidRPr="00CD6113">
        <w:rPr>
          <w:rFonts w:ascii="Arial" w:eastAsia="Calibri" w:hAnsi="Arial" w:cs="Arial"/>
        </w:rPr>
        <w:t xml:space="preserve">Ke schválení </w:t>
      </w:r>
      <w:r w:rsidR="00933002">
        <w:rPr>
          <w:rFonts w:ascii="Arial" w:eastAsia="Calibri" w:hAnsi="Arial" w:cs="Arial"/>
        </w:rPr>
        <w:t xml:space="preserve">jsou </w:t>
      </w:r>
      <w:r w:rsidR="00D43721">
        <w:rPr>
          <w:rFonts w:ascii="Arial" w:eastAsia="Calibri" w:hAnsi="Arial" w:cs="Arial"/>
        </w:rPr>
        <w:t>předkládány</w:t>
      </w:r>
      <w:r w:rsidRPr="00CD6113">
        <w:rPr>
          <w:rFonts w:ascii="Arial" w:eastAsia="Calibri" w:hAnsi="Arial" w:cs="Arial"/>
        </w:rPr>
        <w:t xml:space="preserve"> tzv. </w:t>
      </w:r>
      <w:r w:rsidRPr="00933002">
        <w:rPr>
          <w:rFonts w:ascii="Arial" w:eastAsia="Calibri" w:hAnsi="Arial" w:cs="Arial"/>
          <w:b/>
          <w:bCs/>
        </w:rPr>
        <w:t>interim hodnocené</w:t>
      </w:r>
      <w:r w:rsidRPr="00CD6113">
        <w:rPr>
          <w:rFonts w:ascii="Arial" w:eastAsia="Calibri" w:hAnsi="Arial" w:cs="Arial"/>
        </w:rPr>
        <w:t xml:space="preserve"> velké výzkumné </w:t>
      </w:r>
      <w:r w:rsidRPr="00933002">
        <w:rPr>
          <w:rFonts w:ascii="Arial" w:eastAsia="Calibri" w:hAnsi="Arial" w:cs="Arial"/>
        </w:rPr>
        <w:t xml:space="preserve">infrastruktury, </w:t>
      </w:r>
      <w:r w:rsidR="00933002">
        <w:rPr>
          <w:rFonts w:ascii="Arial" w:eastAsia="Calibri" w:hAnsi="Arial" w:cs="Arial"/>
        </w:rPr>
        <w:t>t</w:t>
      </w:r>
      <w:r w:rsidR="00871A98">
        <w:rPr>
          <w:rFonts w:ascii="Arial" w:eastAsia="Calibri" w:hAnsi="Arial" w:cs="Arial"/>
        </w:rPr>
        <w:t>zn</w:t>
      </w:r>
      <w:r w:rsidR="00933002">
        <w:rPr>
          <w:rFonts w:ascii="Arial" w:eastAsia="Calibri" w:hAnsi="Arial" w:cs="Arial"/>
        </w:rPr>
        <w:t>.</w:t>
      </w:r>
      <w:r w:rsidR="00871A98">
        <w:rPr>
          <w:rFonts w:ascii="Arial" w:eastAsia="Calibri" w:hAnsi="Arial" w:cs="Arial"/>
        </w:rPr>
        <w:t>,</w:t>
      </w:r>
      <w:r w:rsidRPr="00933002">
        <w:rPr>
          <w:rFonts w:ascii="Arial" w:eastAsia="Calibri" w:hAnsi="Arial" w:cs="Arial"/>
        </w:rPr>
        <w:t xml:space="preserve"> velké výzkumné infrastruktury již etablované a provozované, a to </w:t>
      </w:r>
      <w:r w:rsidR="00D43721">
        <w:rPr>
          <w:rFonts w:ascii="Arial" w:eastAsia="Calibri" w:hAnsi="Arial" w:cs="Arial"/>
        </w:rPr>
        <w:t>projekty</w:t>
      </w:r>
      <w:r w:rsidRPr="00933002">
        <w:rPr>
          <w:rFonts w:ascii="Arial" w:eastAsia="Calibri" w:hAnsi="Arial" w:cs="Arial"/>
        </w:rPr>
        <w:t xml:space="preserve">, </w:t>
      </w:r>
      <w:r w:rsidR="00D43721">
        <w:rPr>
          <w:rFonts w:ascii="Arial" w:eastAsia="Calibri" w:hAnsi="Arial" w:cs="Arial"/>
        </w:rPr>
        <w:t>jež</w:t>
      </w:r>
      <w:r w:rsidRPr="00933002">
        <w:rPr>
          <w:rFonts w:ascii="Arial" w:eastAsia="Calibri" w:hAnsi="Arial" w:cs="Arial"/>
        </w:rPr>
        <w:t xml:space="preserve"> v mezinárodním hodnocení v roce 2021 obdržel</w:t>
      </w:r>
      <w:r w:rsidR="00CC37B6">
        <w:rPr>
          <w:rFonts w:ascii="Arial" w:eastAsia="Calibri" w:hAnsi="Arial" w:cs="Arial"/>
        </w:rPr>
        <w:t>y</w:t>
      </w:r>
      <w:r w:rsidRPr="00933002">
        <w:rPr>
          <w:rFonts w:ascii="Arial" w:eastAsia="Calibri" w:hAnsi="Arial" w:cs="Arial"/>
        </w:rPr>
        <w:t xml:space="preserve"> </w:t>
      </w:r>
      <w:r w:rsidR="00871A98">
        <w:rPr>
          <w:rFonts w:ascii="Arial" w:eastAsia="Calibri" w:hAnsi="Arial" w:cs="Arial"/>
        </w:rPr>
        <w:t xml:space="preserve">tu </w:t>
      </w:r>
      <w:r w:rsidRPr="00933002">
        <w:rPr>
          <w:rFonts w:ascii="Arial" w:eastAsia="Calibri" w:hAnsi="Arial" w:cs="Arial"/>
          <w:b/>
          <w:bCs/>
        </w:rPr>
        <w:t>vůbec nejvyšší známku 5 a druhou nejvyšší známku 4</w:t>
      </w:r>
      <w:r w:rsidRPr="00933002">
        <w:rPr>
          <w:rFonts w:ascii="Arial" w:eastAsia="Calibri" w:hAnsi="Arial" w:cs="Arial"/>
        </w:rPr>
        <w:t>.</w:t>
      </w:r>
      <w:r w:rsidR="00933002">
        <w:rPr>
          <w:rFonts w:ascii="Arial" w:eastAsia="Calibri" w:hAnsi="Arial" w:cs="Arial"/>
        </w:rPr>
        <w:t xml:space="preserve"> </w:t>
      </w:r>
    </w:p>
    <w:p w14:paraId="154F895C" w14:textId="77777777" w:rsidR="00EE39A0" w:rsidRDefault="00EE39A0" w:rsidP="00E27C4B">
      <w:pPr>
        <w:spacing w:after="0" w:line="240" w:lineRule="auto"/>
        <w:jc w:val="both"/>
        <w:rPr>
          <w:rFonts w:ascii="Arial" w:eastAsia="Calibri" w:hAnsi="Arial" w:cs="Arial"/>
        </w:rPr>
      </w:pPr>
    </w:p>
    <w:p w14:paraId="4D0C9A50" w14:textId="5387A19B" w:rsidR="00E27C4B" w:rsidRPr="00E27C4B" w:rsidRDefault="00E27C4B" w:rsidP="00E27C4B">
      <w:pPr>
        <w:spacing w:after="0" w:line="240" w:lineRule="auto"/>
        <w:jc w:val="both"/>
        <w:rPr>
          <w:rFonts w:ascii="Arial" w:eastAsia="Calibri" w:hAnsi="Arial" w:cs="Arial"/>
        </w:rPr>
      </w:pPr>
      <w:r w:rsidRPr="00E27C4B">
        <w:rPr>
          <w:rFonts w:ascii="Arial" w:eastAsia="Calibri" w:hAnsi="Arial" w:cs="Arial"/>
        </w:rPr>
        <w:t xml:space="preserve">Materiál ukládá ministrovi školství, mládeže a tělovýchovy zajistit poskytování účelové podpory velkým výzkumným infrastrukturám z výdajů státního rozpočtu ČR na VaVaI v souladu s částí III. materiálu a přílohami č. 1 a 2 materiálu, </w:t>
      </w:r>
      <w:r w:rsidR="00B079D1">
        <w:rPr>
          <w:rFonts w:ascii="Arial" w:eastAsia="Calibri" w:hAnsi="Arial" w:cs="Arial"/>
        </w:rPr>
        <w:t>a to podle</w:t>
      </w:r>
      <w:r w:rsidRPr="00E27C4B">
        <w:rPr>
          <w:rFonts w:ascii="Arial" w:eastAsia="Calibri" w:hAnsi="Arial" w:cs="Arial"/>
        </w:rPr>
        <w:t xml:space="preserve"> výdajový</w:t>
      </w:r>
      <w:r w:rsidR="00B079D1">
        <w:rPr>
          <w:rFonts w:ascii="Arial" w:eastAsia="Calibri" w:hAnsi="Arial" w:cs="Arial"/>
        </w:rPr>
        <w:t>ch</w:t>
      </w:r>
      <w:r w:rsidRPr="00E27C4B">
        <w:rPr>
          <w:rFonts w:ascii="Arial" w:eastAsia="Calibri" w:hAnsi="Arial" w:cs="Arial"/>
        </w:rPr>
        <w:t xml:space="preserve"> rámc</w:t>
      </w:r>
      <w:r w:rsidR="00B079D1">
        <w:rPr>
          <w:rFonts w:ascii="Arial" w:eastAsia="Calibri" w:hAnsi="Arial" w:cs="Arial"/>
        </w:rPr>
        <w:t>ů</w:t>
      </w:r>
      <w:r w:rsidRPr="00E27C4B">
        <w:rPr>
          <w:rFonts w:ascii="Arial" w:eastAsia="Calibri" w:hAnsi="Arial" w:cs="Arial"/>
        </w:rPr>
        <w:t xml:space="preserve"> určený</w:t>
      </w:r>
      <w:r w:rsidR="00B079D1">
        <w:rPr>
          <w:rFonts w:ascii="Arial" w:eastAsia="Calibri" w:hAnsi="Arial" w:cs="Arial"/>
        </w:rPr>
        <w:t>ch</w:t>
      </w:r>
      <w:r w:rsidRPr="00E27C4B">
        <w:rPr>
          <w:rFonts w:ascii="Arial" w:eastAsia="Calibri" w:hAnsi="Arial" w:cs="Arial"/>
        </w:rPr>
        <w:t xml:space="preserve"> </w:t>
      </w:r>
      <w:r w:rsidRPr="00E27C4B">
        <w:rPr>
          <w:rFonts w:ascii="Arial" w:eastAsia="Calibri" w:hAnsi="Arial" w:cs="Arial"/>
          <w:b/>
          <w:bCs/>
        </w:rPr>
        <w:t>usnesením vlády ČR ze dne 26. září 2022 č. 808</w:t>
      </w:r>
      <w:r w:rsidRPr="00E27C4B">
        <w:rPr>
          <w:rFonts w:ascii="Arial" w:eastAsia="Calibri" w:hAnsi="Arial" w:cs="Arial"/>
        </w:rPr>
        <w:t xml:space="preserve">. </w:t>
      </w:r>
      <w:r w:rsidRPr="00B079D1">
        <w:rPr>
          <w:rFonts w:ascii="Arial" w:eastAsia="Calibri" w:hAnsi="Arial" w:cs="Arial"/>
          <w:b/>
          <w:bCs/>
        </w:rPr>
        <w:t xml:space="preserve">V roce 2023 je </w:t>
      </w:r>
      <w:r w:rsidR="00B079D1" w:rsidRPr="00B079D1">
        <w:rPr>
          <w:rFonts w:ascii="Arial" w:eastAsia="Calibri" w:hAnsi="Arial" w:cs="Arial"/>
          <w:b/>
          <w:bCs/>
        </w:rPr>
        <w:t xml:space="preserve">nad rámec toho </w:t>
      </w:r>
      <w:r w:rsidRPr="00B079D1">
        <w:rPr>
          <w:rFonts w:ascii="Arial" w:eastAsia="Calibri" w:hAnsi="Arial" w:cs="Arial"/>
          <w:b/>
          <w:bCs/>
        </w:rPr>
        <w:t xml:space="preserve">počítáno </w:t>
      </w:r>
      <w:r w:rsidR="00B079D1" w:rsidRPr="00B079D1">
        <w:rPr>
          <w:rFonts w:ascii="Arial" w:eastAsia="Calibri" w:hAnsi="Arial" w:cs="Arial"/>
          <w:b/>
          <w:bCs/>
        </w:rPr>
        <w:t xml:space="preserve">i </w:t>
      </w:r>
      <w:r w:rsidRPr="00B079D1">
        <w:rPr>
          <w:rFonts w:ascii="Arial" w:eastAsia="Calibri" w:hAnsi="Arial" w:cs="Arial"/>
          <w:b/>
          <w:bCs/>
        </w:rPr>
        <w:t xml:space="preserve">s využitím nároků z nespotřebovaných výdajů MŠMT </w:t>
      </w:r>
      <w:r w:rsidR="00B079D1">
        <w:rPr>
          <w:rFonts w:ascii="Arial" w:eastAsia="Calibri" w:hAnsi="Arial" w:cs="Arial"/>
          <w:b/>
          <w:bCs/>
        </w:rPr>
        <w:t>s cí</w:t>
      </w:r>
      <w:r w:rsidRPr="00B079D1">
        <w:rPr>
          <w:rFonts w:ascii="Arial" w:eastAsia="Calibri" w:hAnsi="Arial" w:cs="Arial"/>
          <w:b/>
          <w:bCs/>
        </w:rPr>
        <w:t>lem dosažení úrovně financování alespoň v</w:t>
      </w:r>
      <w:r w:rsidR="00B079D1">
        <w:rPr>
          <w:rFonts w:ascii="Arial" w:eastAsia="Calibri" w:hAnsi="Arial" w:cs="Arial"/>
          <w:b/>
          <w:bCs/>
        </w:rPr>
        <w:t xml:space="preserve"> hodnotách </w:t>
      </w:r>
      <w:r w:rsidRPr="00B079D1">
        <w:rPr>
          <w:rFonts w:ascii="Arial" w:eastAsia="Calibri" w:hAnsi="Arial" w:cs="Arial"/>
          <w:b/>
          <w:bCs/>
        </w:rPr>
        <w:t>tzv. krizového scénáře financování velkých výzkumných infrastruktur</w:t>
      </w:r>
      <w:r w:rsidRPr="00E27C4B">
        <w:rPr>
          <w:rFonts w:ascii="Arial" w:eastAsia="Calibri" w:hAnsi="Arial" w:cs="Arial"/>
        </w:rPr>
        <w:t>.</w:t>
      </w:r>
    </w:p>
    <w:p w14:paraId="7788C633" w14:textId="77777777" w:rsidR="00E27C4B" w:rsidRPr="00E27C4B" w:rsidRDefault="00E27C4B" w:rsidP="00E27C4B">
      <w:pPr>
        <w:spacing w:after="0" w:line="240" w:lineRule="auto"/>
        <w:jc w:val="both"/>
        <w:rPr>
          <w:rFonts w:ascii="Arial" w:eastAsia="Calibri" w:hAnsi="Arial" w:cs="Arial"/>
        </w:rPr>
      </w:pPr>
    </w:p>
    <w:p w14:paraId="55289C3F" w14:textId="6DD13D7D" w:rsidR="00E27C4B" w:rsidRPr="003A6DE0" w:rsidRDefault="00E27C4B" w:rsidP="00E27C4B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A6DE0">
        <w:rPr>
          <w:rFonts w:ascii="Arial" w:eastAsia="Calibri" w:hAnsi="Arial" w:cs="Arial"/>
          <w:b/>
          <w:bCs/>
        </w:rPr>
        <w:t xml:space="preserve">Za předpokladu navýšení výdajových limitů státního rozpočtu ČR na VaVaI </w:t>
      </w:r>
      <w:r w:rsidR="006A2834" w:rsidRPr="003A6DE0">
        <w:rPr>
          <w:rFonts w:ascii="Arial" w:eastAsia="Calibri" w:hAnsi="Arial" w:cs="Arial"/>
          <w:b/>
          <w:bCs/>
        </w:rPr>
        <w:t>v porovnání s</w:t>
      </w:r>
      <w:r w:rsidR="00CF414B" w:rsidRPr="003A6DE0">
        <w:rPr>
          <w:rFonts w:ascii="Arial" w:eastAsia="Calibri" w:hAnsi="Arial" w:cs="Arial"/>
          <w:b/>
          <w:bCs/>
        </w:rPr>
        <w:t> </w:t>
      </w:r>
      <w:r w:rsidRPr="003A6DE0">
        <w:rPr>
          <w:rFonts w:ascii="Arial" w:eastAsia="Calibri" w:hAnsi="Arial" w:cs="Arial"/>
          <w:b/>
          <w:bCs/>
        </w:rPr>
        <w:t>výdajovým</w:t>
      </w:r>
      <w:r w:rsidR="006A2834" w:rsidRPr="003A6DE0">
        <w:rPr>
          <w:rFonts w:ascii="Arial" w:eastAsia="Calibri" w:hAnsi="Arial" w:cs="Arial"/>
          <w:b/>
          <w:bCs/>
        </w:rPr>
        <w:t>i</w:t>
      </w:r>
      <w:r w:rsidRPr="003A6DE0">
        <w:rPr>
          <w:rFonts w:ascii="Arial" w:eastAsia="Calibri" w:hAnsi="Arial" w:cs="Arial"/>
          <w:b/>
          <w:bCs/>
        </w:rPr>
        <w:t xml:space="preserve"> rámc</w:t>
      </w:r>
      <w:r w:rsidR="006A2834" w:rsidRPr="003A6DE0">
        <w:rPr>
          <w:rFonts w:ascii="Arial" w:eastAsia="Calibri" w:hAnsi="Arial" w:cs="Arial"/>
          <w:b/>
          <w:bCs/>
        </w:rPr>
        <w:t>i</w:t>
      </w:r>
      <w:r w:rsidRPr="003A6DE0">
        <w:rPr>
          <w:rFonts w:ascii="Arial" w:eastAsia="Calibri" w:hAnsi="Arial" w:cs="Arial"/>
          <w:b/>
          <w:bCs/>
        </w:rPr>
        <w:t xml:space="preserve"> schváleným</w:t>
      </w:r>
      <w:r w:rsidR="006A2834" w:rsidRPr="003A6DE0">
        <w:rPr>
          <w:rFonts w:ascii="Arial" w:eastAsia="Calibri" w:hAnsi="Arial" w:cs="Arial"/>
          <w:b/>
          <w:bCs/>
        </w:rPr>
        <w:t>i</w:t>
      </w:r>
      <w:r w:rsidRPr="003A6DE0">
        <w:rPr>
          <w:rFonts w:ascii="Arial" w:eastAsia="Calibri" w:hAnsi="Arial" w:cs="Arial"/>
          <w:b/>
          <w:bCs/>
        </w:rPr>
        <w:t xml:space="preserve"> usnesením vlády ČR ze dne 26. září 2022 č. 808 </w:t>
      </w:r>
      <w:r w:rsidR="006A2834" w:rsidRPr="003A6DE0">
        <w:rPr>
          <w:rFonts w:ascii="Arial" w:eastAsia="Calibri" w:hAnsi="Arial" w:cs="Arial"/>
          <w:b/>
          <w:bCs/>
        </w:rPr>
        <w:t xml:space="preserve">poté </w:t>
      </w:r>
      <w:r w:rsidRPr="003A6DE0">
        <w:rPr>
          <w:rFonts w:ascii="Arial" w:eastAsia="Calibri" w:hAnsi="Arial" w:cs="Arial"/>
          <w:b/>
          <w:bCs/>
        </w:rPr>
        <w:t xml:space="preserve">materiál ukládá ministryni pro vědu, výzkum a inovace a předsedkyni </w:t>
      </w:r>
      <w:r w:rsidR="00B079D1" w:rsidRPr="003A6DE0">
        <w:rPr>
          <w:rFonts w:ascii="Arial" w:eastAsia="Calibri" w:hAnsi="Arial" w:cs="Arial"/>
          <w:b/>
          <w:bCs/>
        </w:rPr>
        <w:t>RVVI</w:t>
      </w:r>
      <w:r w:rsidRPr="003A6DE0">
        <w:rPr>
          <w:rFonts w:ascii="Arial" w:eastAsia="Calibri" w:hAnsi="Arial" w:cs="Arial"/>
          <w:b/>
          <w:bCs/>
        </w:rPr>
        <w:t xml:space="preserve"> </w:t>
      </w:r>
      <w:r w:rsidR="006A2834" w:rsidRPr="003A6DE0">
        <w:rPr>
          <w:rFonts w:ascii="Arial" w:eastAsia="Calibri" w:hAnsi="Arial" w:cs="Arial"/>
          <w:b/>
          <w:bCs/>
        </w:rPr>
        <w:t>podpořit</w:t>
      </w:r>
      <w:r w:rsidRPr="003A6DE0">
        <w:rPr>
          <w:rFonts w:ascii="Arial" w:eastAsia="Calibri" w:hAnsi="Arial" w:cs="Arial"/>
          <w:b/>
          <w:bCs/>
        </w:rPr>
        <w:t xml:space="preserve"> při sestavování návrhů výdajů státního rozpočtu ČR na VaVaI na věcně příslušná léta vždy alespoň tzv. krizový scénář financování velkých výzkumných infrastruktur.</w:t>
      </w:r>
    </w:p>
    <w:p w14:paraId="11FEF156" w14:textId="77777777" w:rsidR="00E27C4B" w:rsidRPr="007E7CD1" w:rsidRDefault="00E27C4B" w:rsidP="00E27C4B">
      <w:pPr>
        <w:spacing w:after="0" w:line="240" w:lineRule="auto"/>
        <w:jc w:val="both"/>
        <w:rPr>
          <w:rFonts w:ascii="Arial" w:eastAsia="Calibri" w:hAnsi="Arial" w:cs="Arial"/>
        </w:rPr>
      </w:pPr>
    </w:p>
    <w:p w14:paraId="7C7D188D" w14:textId="77777777" w:rsidR="00E27C4B" w:rsidRPr="007E7CD1" w:rsidRDefault="00E27C4B" w:rsidP="00E27C4B">
      <w:pPr>
        <w:spacing w:after="0" w:line="240" w:lineRule="auto"/>
        <w:jc w:val="both"/>
        <w:rPr>
          <w:rFonts w:ascii="Arial" w:eastAsia="Calibri" w:hAnsi="Arial" w:cs="Arial"/>
        </w:rPr>
      </w:pPr>
      <w:r w:rsidRPr="007E7CD1">
        <w:rPr>
          <w:rFonts w:ascii="Arial" w:eastAsia="Calibri" w:hAnsi="Arial" w:cs="Arial"/>
        </w:rPr>
        <w:t>Pokud by k adekvátnímu navýšení výdajových limitů státního rozpočtu ČR na VaVaI nedošlo, bude MŠMT poskytovat velkým výzkumným infrastrukturám podporu plně v souladu s aktuálně stanovenými výdajovými rámci určenými usnesením vlády ČR ze dne 26. září 2022 č. 808, tj. i v nižších hodnotách, než které předjímá tzv. krizový scénář financování velkých výzkumných infrastruktur.</w:t>
      </w:r>
    </w:p>
    <w:p w14:paraId="6623CEC8" w14:textId="77777777" w:rsidR="00E27C4B" w:rsidRPr="00E27C4B" w:rsidRDefault="00E27C4B" w:rsidP="00E27C4B">
      <w:pPr>
        <w:spacing w:after="0" w:line="240" w:lineRule="auto"/>
        <w:jc w:val="both"/>
        <w:rPr>
          <w:rFonts w:ascii="Arial" w:eastAsia="Calibri" w:hAnsi="Arial" w:cs="Arial"/>
        </w:rPr>
      </w:pPr>
    </w:p>
    <w:p w14:paraId="5C620572" w14:textId="406C0F4B" w:rsidR="008C56A1" w:rsidRDefault="00E27C4B" w:rsidP="00E27C4B">
      <w:pPr>
        <w:spacing w:after="0" w:line="240" w:lineRule="auto"/>
        <w:jc w:val="both"/>
        <w:rPr>
          <w:rFonts w:ascii="Arial" w:eastAsia="Calibri" w:hAnsi="Arial" w:cs="Arial"/>
        </w:rPr>
      </w:pPr>
      <w:r w:rsidRPr="00E27C4B">
        <w:rPr>
          <w:rFonts w:ascii="Arial" w:eastAsia="Calibri" w:hAnsi="Arial" w:cs="Arial"/>
        </w:rPr>
        <w:t xml:space="preserve">V případě pozitivního vývoje veřejných rozpočtů ČR, resp. navýšení alokace účelové podpory velkých výzkumných infrastruktur, </w:t>
      </w:r>
      <w:r w:rsidR="00D67CD1">
        <w:rPr>
          <w:rFonts w:ascii="Arial" w:eastAsia="Calibri" w:hAnsi="Arial" w:cs="Arial"/>
        </w:rPr>
        <w:t>může být poté</w:t>
      </w:r>
      <w:r w:rsidRPr="00E27C4B">
        <w:rPr>
          <w:rFonts w:ascii="Arial" w:eastAsia="Calibri" w:hAnsi="Arial" w:cs="Arial"/>
        </w:rPr>
        <w:t xml:space="preserve"> navýšena </w:t>
      </w:r>
      <w:r w:rsidR="00D67CD1">
        <w:rPr>
          <w:rFonts w:ascii="Arial" w:eastAsia="Calibri" w:hAnsi="Arial" w:cs="Arial"/>
        </w:rPr>
        <w:t xml:space="preserve">i </w:t>
      </w:r>
      <w:r w:rsidRPr="00E27C4B">
        <w:rPr>
          <w:rFonts w:ascii="Arial" w:eastAsia="Calibri" w:hAnsi="Arial" w:cs="Arial"/>
        </w:rPr>
        <w:t>intenzita financování schválených projektů, popř. zahájen</w:t>
      </w:r>
      <w:r w:rsidR="00D67CD1">
        <w:rPr>
          <w:rFonts w:ascii="Arial" w:eastAsia="Calibri" w:hAnsi="Arial" w:cs="Arial"/>
        </w:rPr>
        <w:t>a</w:t>
      </w:r>
      <w:r w:rsidRPr="00E27C4B">
        <w:rPr>
          <w:rFonts w:ascii="Arial" w:eastAsia="Calibri" w:hAnsi="Arial" w:cs="Arial"/>
        </w:rPr>
        <w:t xml:space="preserve"> </w:t>
      </w:r>
      <w:r w:rsidR="00D67CD1">
        <w:rPr>
          <w:rFonts w:ascii="Arial" w:eastAsia="Calibri" w:hAnsi="Arial" w:cs="Arial"/>
        </w:rPr>
        <w:t>podpora</w:t>
      </w:r>
      <w:r w:rsidRPr="00E27C4B">
        <w:rPr>
          <w:rFonts w:ascii="Arial" w:eastAsia="Calibri" w:hAnsi="Arial" w:cs="Arial"/>
        </w:rPr>
        <w:t xml:space="preserve"> nových návrhů projektů velkých výzkumných infrastruktur.</w:t>
      </w:r>
    </w:p>
    <w:p w14:paraId="0C939507" w14:textId="77777777" w:rsidR="0091714E" w:rsidRDefault="0091714E" w:rsidP="00E27C4B">
      <w:pPr>
        <w:spacing w:after="0" w:line="240" w:lineRule="auto"/>
        <w:jc w:val="both"/>
        <w:rPr>
          <w:rFonts w:ascii="Arial" w:eastAsia="Calibri" w:hAnsi="Arial" w:cs="Arial"/>
        </w:rPr>
      </w:pPr>
    </w:p>
    <w:p w14:paraId="3317477C" w14:textId="77777777" w:rsidR="008C56A1" w:rsidRPr="00702BBD" w:rsidRDefault="008C56A1" w:rsidP="008C56A1">
      <w:p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 w:rsidRPr="008B7A92">
        <w:rPr>
          <w:rFonts w:ascii="Arial" w:eastAsia="Calibri" w:hAnsi="Arial" w:cs="Arial"/>
          <w:b/>
          <w:bCs/>
          <w:u w:val="single"/>
        </w:rPr>
        <w:t>Deficit v rozpočtové alokaci účelové podpory velkých výzkumných infrastruktur v roce 2023 vůči tzv. krizovému scénáři financování velkých výzkumných infrastruktur ve výši 275 952 tis. Kč MŠMT uhradí za využití nároků z nespotřebovaných výdajů. Tím dosáhne hodnot financování velkých výzkumných infrastruktur alespoň na úrovni tzv. krizového scénáře podpory.</w:t>
      </w:r>
    </w:p>
    <w:p w14:paraId="343A4083" w14:textId="77777777" w:rsidR="008C56A1" w:rsidRDefault="008C56A1" w:rsidP="00E27C4B">
      <w:pPr>
        <w:spacing w:after="0" w:line="240" w:lineRule="auto"/>
        <w:jc w:val="both"/>
        <w:rPr>
          <w:rFonts w:ascii="Arial" w:eastAsia="Calibri" w:hAnsi="Arial" w:cs="Arial"/>
        </w:rPr>
      </w:pPr>
    </w:p>
    <w:p w14:paraId="2245AE19" w14:textId="77777777" w:rsidR="008C56A1" w:rsidRPr="008B7A92" w:rsidRDefault="008C56A1" w:rsidP="008C56A1">
      <w:pPr>
        <w:spacing w:after="0" w:line="240" w:lineRule="auto"/>
        <w:jc w:val="both"/>
        <w:rPr>
          <w:rFonts w:ascii="Arial" w:eastAsia="Calibri" w:hAnsi="Arial" w:cs="Arial"/>
        </w:rPr>
      </w:pPr>
      <w:r w:rsidRPr="008B7A92">
        <w:rPr>
          <w:rFonts w:ascii="Arial" w:eastAsia="Calibri" w:hAnsi="Arial" w:cs="Arial"/>
        </w:rPr>
        <w:t xml:space="preserve">MŠMT upozorňuje, že ani tzv. </w:t>
      </w:r>
      <w:r w:rsidRPr="008B7A92">
        <w:rPr>
          <w:rFonts w:ascii="Arial" w:eastAsia="Calibri" w:hAnsi="Arial" w:cs="Arial"/>
          <w:b/>
          <w:bCs/>
        </w:rPr>
        <w:t>krizový scénář financování, který však není zabezpečen, by neumožnil využít plného potenciálu velkých výzkumných infrastruktur</w:t>
      </w:r>
      <w:r w:rsidRPr="008B7A92">
        <w:rPr>
          <w:rFonts w:ascii="Arial" w:eastAsia="Calibri" w:hAnsi="Arial" w:cs="Arial"/>
        </w:rPr>
        <w:t xml:space="preserve">. Některé z velkých výzkumných infrastruktur budou muset revidovat rozsah jimi prováděných aktivit, potažmo také služeb poskytovaných uživatelským komunitám. Avšak jistá kvalitativní báze by v případě tzv. krizového scénáře financování velkých výzkumných infrastruktur byla zachována. </w:t>
      </w:r>
    </w:p>
    <w:p w14:paraId="3BB116B1" w14:textId="733948D0" w:rsidR="00B6257E" w:rsidRDefault="00B6257E" w:rsidP="00CD6113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b/>
          <w:i/>
          <w:iCs/>
        </w:rPr>
        <w:t>Tabulka č. 3: F</w:t>
      </w:r>
      <w:r w:rsidRPr="00B6257E">
        <w:rPr>
          <w:rFonts w:ascii="Arial" w:hAnsi="Arial" w:cs="Arial"/>
          <w:b/>
          <w:i/>
          <w:iCs/>
        </w:rPr>
        <w:t>inanční nákladnost variant financování velkých výzkumných infrastruktur</w:t>
      </w:r>
    </w:p>
    <w:p w14:paraId="5BDC5AEF" w14:textId="77777777" w:rsidR="00D21155" w:rsidRPr="00CD6113" w:rsidRDefault="00D21155" w:rsidP="00D21155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1595"/>
        <w:gridCol w:w="1734"/>
        <w:gridCol w:w="1735"/>
        <w:gridCol w:w="1735"/>
      </w:tblGrid>
      <w:tr w:rsidR="00D21155" w:rsidRPr="00CD6113" w14:paraId="70495EDF" w14:textId="77777777" w:rsidTr="00D67CD1">
        <w:tc>
          <w:tcPr>
            <w:tcW w:w="2268" w:type="dxa"/>
          </w:tcPr>
          <w:p w14:paraId="2F99637C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CD6113">
              <w:rPr>
                <w:rFonts w:ascii="Arial" w:eastAsia="Calibri" w:hAnsi="Arial" w:cs="Arial"/>
                <w:b/>
                <w:bCs/>
              </w:rPr>
              <w:t>Rok / tis. Kč</w:t>
            </w:r>
          </w:p>
        </w:tc>
        <w:tc>
          <w:tcPr>
            <w:tcW w:w="1595" w:type="dxa"/>
          </w:tcPr>
          <w:p w14:paraId="2A8A4BAA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CD6113">
              <w:rPr>
                <w:rFonts w:ascii="Arial" w:eastAsia="Calibri" w:hAnsi="Arial" w:cs="Arial"/>
                <w:b/>
                <w:bCs/>
              </w:rPr>
              <w:t>2023</w:t>
            </w:r>
          </w:p>
        </w:tc>
        <w:tc>
          <w:tcPr>
            <w:tcW w:w="1734" w:type="dxa"/>
          </w:tcPr>
          <w:p w14:paraId="16857467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CD6113">
              <w:rPr>
                <w:rFonts w:ascii="Arial" w:eastAsia="Calibri" w:hAnsi="Arial" w:cs="Arial"/>
                <w:b/>
                <w:bCs/>
              </w:rPr>
              <w:t>2024</w:t>
            </w:r>
          </w:p>
        </w:tc>
        <w:tc>
          <w:tcPr>
            <w:tcW w:w="1735" w:type="dxa"/>
          </w:tcPr>
          <w:p w14:paraId="18CF5D60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CD6113">
              <w:rPr>
                <w:rFonts w:ascii="Arial" w:eastAsia="Calibri" w:hAnsi="Arial" w:cs="Arial"/>
                <w:b/>
                <w:bCs/>
              </w:rPr>
              <w:t>2025</w:t>
            </w:r>
          </w:p>
        </w:tc>
        <w:tc>
          <w:tcPr>
            <w:tcW w:w="1735" w:type="dxa"/>
          </w:tcPr>
          <w:p w14:paraId="663DEA10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CD6113">
              <w:rPr>
                <w:rFonts w:ascii="Arial" w:eastAsia="Calibri" w:hAnsi="Arial" w:cs="Arial"/>
                <w:b/>
                <w:bCs/>
              </w:rPr>
              <w:t>2026</w:t>
            </w:r>
          </w:p>
        </w:tc>
      </w:tr>
      <w:tr w:rsidR="00D21155" w:rsidRPr="00CD6113" w14:paraId="59B1DDCB" w14:textId="77777777" w:rsidTr="00D67CD1">
        <w:tc>
          <w:tcPr>
            <w:tcW w:w="2268" w:type="dxa"/>
          </w:tcPr>
          <w:p w14:paraId="49C982E7" w14:textId="77777777" w:rsidR="00D21155" w:rsidRPr="00C94898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94898">
              <w:rPr>
                <w:rFonts w:ascii="Arial" w:eastAsia="Calibri" w:hAnsi="Arial" w:cs="Arial"/>
              </w:rPr>
              <w:t>Žádaná podpora</w:t>
            </w:r>
          </w:p>
        </w:tc>
        <w:tc>
          <w:tcPr>
            <w:tcW w:w="1595" w:type="dxa"/>
          </w:tcPr>
          <w:p w14:paraId="52AFB55A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D6113">
              <w:rPr>
                <w:rFonts w:ascii="Arial" w:eastAsia="Calibri" w:hAnsi="Arial" w:cs="Arial"/>
              </w:rPr>
              <w:t>3 286 417</w:t>
            </w:r>
          </w:p>
        </w:tc>
        <w:tc>
          <w:tcPr>
            <w:tcW w:w="1734" w:type="dxa"/>
          </w:tcPr>
          <w:p w14:paraId="39CD2AF1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D6113">
              <w:rPr>
                <w:rFonts w:ascii="Arial" w:eastAsia="Calibri" w:hAnsi="Arial" w:cs="Arial"/>
              </w:rPr>
              <w:t>3 448 450</w:t>
            </w:r>
          </w:p>
        </w:tc>
        <w:tc>
          <w:tcPr>
            <w:tcW w:w="1735" w:type="dxa"/>
          </w:tcPr>
          <w:p w14:paraId="0EF532F3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D6113">
              <w:rPr>
                <w:rFonts w:ascii="Arial" w:eastAsia="Calibri" w:hAnsi="Arial" w:cs="Arial"/>
              </w:rPr>
              <w:t>3 562 367</w:t>
            </w:r>
          </w:p>
        </w:tc>
        <w:tc>
          <w:tcPr>
            <w:tcW w:w="1735" w:type="dxa"/>
          </w:tcPr>
          <w:p w14:paraId="6FB04E1F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D6113">
              <w:rPr>
                <w:rFonts w:ascii="Arial" w:eastAsia="Calibri" w:hAnsi="Arial" w:cs="Arial"/>
              </w:rPr>
              <w:t>3 676 448</w:t>
            </w:r>
          </w:p>
        </w:tc>
      </w:tr>
      <w:tr w:rsidR="00D21155" w:rsidRPr="00CD6113" w14:paraId="67A54C9B" w14:textId="77777777" w:rsidTr="00D67CD1">
        <w:tc>
          <w:tcPr>
            <w:tcW w:w="2268" w:type="dxa"/>
          </w:tcPr>
          <w:p w14:paraId="17968931" w14:textId="77777777" w:rsidR="00D21155" w:rsidRPr="00C94898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94898">
              <w:rPr>
                <w:rFonts w:ascii="Arial" w:eastAsia="Calibri" w:hAnsi="Arial" w:cs="Arial"/>
              </w:rPr>
              <w:t>Scénář 85-70-50 %</w:t>
            </w:r>
          </w:p>
        </w:tc>
        <w:tc>
          <w:tcPr>
            <w:tcW w:w="1595" w:type="dxa"/>
            <w:vAlign w:val="center"/>
          </w:tcPr>
          <w:p w14:paraId="0519EB7B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94898">
              <w:rPr>
                <w:rFonts w:ascii="Arial" w:eastAsia="Calibri" w:hAnsi="Arial" w:cs="Arial"/>
              </w:rPr>
              <w:t>2 451 483</w:t>
            </w:r>
          </w:p>
        </w:tc>
        <w:tc>
          <w:tcPr>
            <w:tcW w:w="1734" w:type="dxa"/>
            <w:vAlign w:val="center"/>
          </w:tcPr>
          <w:p w14:paraId="4E6B7685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94898">
              <w:rPr>
                <w:rFonts w:ascii="Arial" w:eastAsia="Calibri" w:hAnsi="Arial" w:cs="Arial"/>
              </w:rPr>
              <w:t>2 556 678</w:t>
            </w:r>
          </w:p>
        </w:tc>
        <w:tc>
          <w:tcPr>
            <w:tcW w:w="1735" w:type="dxa"/>
            <w:vAlign w:val="center"/>
          </w:tcPr>
          <w:p w14:paraId="0BAEA5EF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94898">
              <w:rPr>
                <w:rFonts w:ascii="Arial" w:eastAsia="Calibri" w:hAnsi="Arial" w:cs="Arial"/>
              </w:rPr>
              <w:t>2 645 723</w:t>
            </w:r>
          </w:p>
        </w:tc>
        <w:tc>
          <w:tcPr>
            <w:tcW w:w="1735" w:type="dxa"/>
            <w:vAlign w:val="center"/>
          </w:tcPr>
          <w:p w14:paraId="46207E97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94898">
              <w:rPr>
                <w:rFonts w:ascii="Arial" w:eastAsia="Calibri" w:hAnsi="Arial" w:cs="Arial"/>
              </w:rPr>
              <w:t>2 733 769</w:t>
            </w:r>
          </w:p>
        </w:tc>
      </w:tr>
      <w:tr w:rsidR="00D21155" w:rsidRPr="00CD6113" w14:paraId="642ABC3A" w14:textId="77777777" w:rsidTr="00D67CD1">
        <w:tc>
          <w:tcPr>
            <w:tcW w:w="2268" w:type="dxa"/>
          </w:tcPr>
          <w:p w14:paraId="4B78C9C6" w14:textId="77777777" w:rsidR="00D21155" w:rsidRPr="00C94898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C94898">
              <w:rPr>
                <w:rFonts w:ascii="Arial" w:eastAsia="Calibri" w:hAnsi="Arial" w:cs="Arial"/>
                <w:b/>
                <w:bCs/>
              </w:rPr>
              <w:t>Scénář 75-60 %</w:t>
            </w:r>
            <w:r>
              <w:rPr>
                <w:rStyle w:val="Znakapoznpodarou"/>
                <w:rFonts w:ascii="Arial" w:eastAsia="Calibri" w:hAnsi="Arial" w:cs="Arial"/>
                <w:b/>
                <w:bCs/>
              </w:rPr>
              <w:footnoteReference w:id="5"/>
            </w:r>
          </w:p>
        </w:tc>
        <w:tc>
          <w:tcPr>
            <w:tcW w:w="1595" w:type="dxa"/>
            <w:vAlign w:val="center"/>
          </w:tcPr>
          <w:p w14:paraId="73E1873F" w14:textId="77777777" w:rsidR="00D21155" w:rsidRPr="00C94898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C94898">
              <w:rPr>
                <w:rFonts w:ascii="Arial" w:eastAsia="Calibri" w:hAnsi="Arial" w:cs="Arial"/>
                <w:b/>
                <w:bCs/>
              </w:rPr>
              <w:t>1 995 9</w:t>
            </w:r>
            <w:r>
              <w:rPr>
                <w:rFonts w:ascii="Arial" w:eastAsia="Calibri" w:hAnsi="Arial" w:cs="Arial"/>
                <w:b/>
                <w:bCs/>
              </w:rPr>
              <w:t>52</w:t>
            </w:r>
          </w:p>
        </w:tc>
        <w:tc>
          <w:tcPr>
            <w:tcW w:w="1734" w:type="dxa"/>
            <w:vAlign w:val="center"/>
          </w:tcPr>
          <w:p w14:paraId="2E0E5F51" w14:textId="77777777" w:rsidR="00D21155" w:rsidRPr="00C94898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C94898">
              <w:rPr>
                <w:rFonts w:ascii="Arial" w:eastAsia="Calibri" w:hAnsi="Arial" w:cs="Arial"/>
                <w:b/>
                <w:bCs/>
              </w:rPr>
              <w:t>2 077 8</w:t>
            </w:r>
            <w:r>
              <w:rPr>
                <w:rFonts w:ascii="Arial" w:eastAsia="Calibri" w:hAnsi="Arial" w:cs="Arial"/>
                <w:b/>
                <w:bCs/>
              </w:rPr>
              <w:t>31</w:t>
            </w:r>
          </w:p>
        </w:tc>
        <w:tc>
          <w:tcPr>
            <w:tcW w:w="1735" w:type="dxa"/>
            <w:vAlign w:val="center"/>
          </w:tcPr>
          <w:p w14:paraId="786B81C3" w14:textId="77777777" w:rsidR="00D21155" w:rsidRPr="00C94898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C94898">
              <w:rPr>
                <w:rFonts w:ascii="Arial" w:eastAsia="Calibri" w:hAnsi="Arial" w:cs="Arial"/>
                <w:b/>
                <w:bCs/>
              </w:rPr>
              <w:t>2 156 2</w:t>
            </w:r>
            <w:r>
              <w:rPr>
                <w:rFonts w:ascii="Arial" w:eastAsia="Calibri" w:hAnsi="Arial" w:cs="Arial"/>
                <w:b/>
                <w:bCs/>
              </w:rPr>
              <w:t>55</w:t>
            </w:r>
          </w:p>
        </w:tc>
        <w:tc>
          <w:tcPr>
            <w:tcW w:w="1735" w:type="dxa"/>
            <w:vAlign w:val="center"/>
          </w:tcPr>
          <w:p w14:paraId="4F5DFFCA" w14:textId="77777777" w:rsidR="00D21155" w:rsidRPr="00C94898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C94898">
              <w:rPr>
                <w:rFonts w:ascii="Arial" w:eastAsia="Calibri" w:hAnsi="Arial" w:cs="Arial"/>
                <w:b/>
                <w:bCs/>
              </w:rPr>
              <w:t>2 230 8</w:t>
            </w:r>
            <w:r>
              <w:rPr>
                <w:rFonts w:ascii="Arial" w:eastAsia="Calibri" w:hAnsi="Arial" w:cs="Arial"/>
                <w:b/>
                <w:bCs/>
              </w:rPr>
              <w:t>82</w:t>
            </w:r>
          </w:p>
        </w:tc>
      </w:tr>
      <w:tr w:rsidR="00D21155" w:rsidRPr="00CD6113" w14:paraId="0EF22354" w14:textId="77777777" w:rsidTr="00D67CD1">
        <w:tc>
          <w:tcPr>
            <w:tcW w:w="2268" w:type="dxa"/>
          </w:tcPr>
          <w:p w14:paraId="5683E0B9" w14:textId="77777777" w:rsidR="00D21155" w:rsidRPr="00C94898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94898">
              <w:rPr>
                <w:rFonts w:ascii="Arial" w:eastAsia="Calibri" w:hAnsi="Arial" w:cs="Arial"/>
              </w:rPr>
              <w:t>Návrh RVVI</w:t>
            </w:r>
          </w:p>
        </w:tc>
        <w:tc>
          <w:tcPr>
            <w:tcW w:w="1595" w:type="dxa"/>
          </w:tcPr>
          <w:p w14:paraId="1C510961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D6113">
              <w:rPr>
                <w:rFonts w:ascii="Arial" w:eastAsia="Calibri" w:hAnsi="Arial" w:cs="Arial"/>
              </w:rPr>
              <w:t>1 720 000</w:t>
            </w:r>
          </w:p>
        </w:tc>
        <w:tc>
          <w:tcPr>
            <w:tcW w:w="1734" w:type="dxa"/>
          </w:tcPr>
          <w:p w14:paraId="6BE17E7D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D6113">
              <w:rPr>
                <w:rFonts w:ascii="Arial" w:eastAsia="Calibri" w:hAnsi="Arial" w:cs="Arial"/>
              </w:rPr>
              <w:t>1 892 000</w:t>
            </w:r>
          </w:p>
        </w:tc>
        <w:tc>
          <w:tcPr>
            <w:tcW w:w="1735" w:type="dxa"/>
          </w:tcPr>
          <w:p w14:paraId="44BE80B7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D6113">
              <w:rPr>
                <w:rFonts w:ascii="Arial" w:eastAsia="Calibri" w:hAnsi="Arial" w:cs="Arial"/>
              </w:rPr>
              <w:t>1 986 600</w:t>
            </w:r>
          </w:p>
        </w:tc>
        <w:tc>
          <w:tcPr>
            <w:tcW w:w="1735" w:type="dxa"/>
          </w:tcPr>
          <w:p w14:paraId="5B5CB755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CD6113">
              <w:rPr>
                <w:rFonts w:ascii="Arial" w:eastAsia="Calibri" w:hAnsi="Arial" w:cs="Arial"/>
              </w:rPr>
              <w:t>N/A</w:t>
            </w:r>
          </w:p>
        </w:tc>
      </w:tr>
      <w:tr w:rsidR="00D21155" w:rsidRPr="00CD6113" w14:paraId="3CBD1939" w14:textId="77777777" w:rsidTr="00D67CD1">
        <w:tc>
          <w:tcPr>
            <w:tcW w:w="2268" w:type="dxa"/>
          </w:tcPr>
          <w:p w14:paraId="3AFF1BBF" w14:textId="0FEBC55A" w:rsidR="00D21155" w:rsidRPr="00D21155" w:rsidRDefault="00D21155" w:rsidP="00D2115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21155">
              <w:rPr>
                <w:rFonts w:ascii="Arial" w:eastAsia="Calibri" w:hAnsi="Arial" w:cs="Arial"/>
                <w:b/>
                <w:bCs/>
              </w:rPr>
              <w:t>UV 26.9.2022/808</w:t>
            </w:r>
          </w:p>
        </w:tc>
        <w:tc>
          <w:tcPr>
            <w:tcW w:w="1595" w:type="dxa"/>
          </w:tcPr>
          <w:p w14:paraId="67D831BF" w14:textId="3DD80546" w:rsidR="00D21155" w:rsidRPr="00D21155" w:rsidRDefault="00D21155" w:rsidP="00D2115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21155">
              <w:rPr>
                <w:rFonts w:ascii="Arial" w:eastAsia="Calibri" w:hAnsi="Arial" w:cs="Arial"/>
                <w:b/>
                <w:bCs/>
              </w:rPr>
              <w:t>1 720 000</w:t>
            </w:r>
          </w:p>
        </w:tc>
        <w:tc>
          <w:tcPr>
            <w:tcW w:w="1734" w:type="dxa"/>
          </w:tcPr>
          <w:p w14:paraId="6BF9518A" w14:textId="783CF958" w:rsidR="00D21155" w:rsidRPr="00D21155" w:rsidRDefault="00BB5534" w:rsidP="00D2115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21155">
              <w:rPr>
                <w:rFonts w:ascii="Arial" w:eastAsia="Calibri" w:hAnsi="Arial" w:cs="Arial"/>
                <w:b/>
                <w:bCs/>
              </w:rPr>
              <w:t>1 720 000</w:t>
            </w:r>
          </w:p>
        </w:tc>
        <w:tc>
          <w:tcPr>
            <w:tcW w:w="1735" w:type="dxa"/>
          </w:tcPr>
          <w:p w14:paraId="56B9FD37" w14:textId="08D301AA" w:rsidR="00D21155" w:rsidRPr="00D21155" w:rsidRDefault="00BB5534" w:rsidP="00D2115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21155">
              <w:rPr>
                <w:rFonts w:ascii="Arial" w:eastAsia="Calibri" w:hAnsi="Arial" w:cs="Arial"/>
                <w:b/>
                <w:bCs/>
              </w:rPr>
              <w:t>1 720 000</w:t>
            </w:r>
          </w:p>
        </w:tc>
        <w:tc>
          <w:tcPr>
            <w:tcW w:w="1735" w:type="dxa"/>
          </w:tcPr>
          <w:p w14:paraId="3833F7FB" w14:textId="24ED55C6" w:rsidR="00D21155" w:rsidRPr="00D21155" w:rsidRDefault="00D21155" w:rsidP="00D2115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21155">
              <w:rPr>
                <w:rFonts w:ascii="Arial" w:eastAsia="Calibri" w:hAnsi="Arial" w:cs="Arial"/>
                <w:b/>
                <w:bCs/>
              </w:rPr>
              <w:t>N/A</w:t>
            </w:r>
          </w:p>
        </w:tc>
      </w:tr>
      <w:tr w:rsidR="00D21155" w:rsidRPr="00CD6113" w14:paraId="6DC1C4B2" w14:textId="77777777" w:rsidTr="00D67CD1">
        <w:tc>
          <w:tcPr>
            <w:tcW w:w="2268" w:type="dxa"/>
          </w:tcPr>
          <w:p w14:paraId="04606295" w14:textId="77777777" w:rsidR="00D21155" w:rsidRPr="00CD6113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CD6113">
              <w:rPr>
                <w:rFonts w:ascii="Arial" w:eastAsia="Calibri" w:hAnsi="Arial" w:cs="Arial"/>
                <w:b/>
                <w:bCs/>
              </w:rPr>
              <w:t>Deficit</w:t>
            </w:r>
            <w:r>
              <w:rPr>
                <w:rFonts w:ascii="Arial" w:eastAsia="Calibri" w:hAnsi="Arial" w:cs="Arial"/>
                <w:b/>
                <w:bCs/>
              </w:rPr>
              <w:t xml:space="preserve"> 75-60 %</w:t>
            </w:r>
          </w:p>
        </w:tc>
        <w:tc>
          <w:tcPr>
            <w:tcW w:w="1595" w:type="dxa"/>
          </w:tcPr>
          <w:p w14:paraId="00B299DB" w14:textId="77777777" w:rsidR="00D21155" w:rsidRPr="00FB101A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FB101A">
              <w:rPr>
                <w:rFonts w:ascii="Arial" w:eastAsia="Calibri" w:hAnsi="Arial" w:cs="Arial"/>
                <w:b/>
                <w:bCs/>
              </w:rPr>
              <w:t>- 275 952</w:t>
            </w:r>
          </w:p>
        </w:tc>
        <w:tc>
          <w:tcPr>
            <w:tcW w:w="1734" w:type="dxa"/>
          </w:tcPr>
          <w:p w14:paraId="5EC5065D" w14:textId="01521932" w:rsidR="00D21155" w:rsidRPr="00FB101A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FB101A">
              <w:rPr>
                <w:rFonts w:ascii="Arial" w:eastAsia="Calibri" w:hAnsi="Arial" w:cs="Arial"/>
                <w:b/>
                <w:bCs/>
              </w:rPr>
              <w:t xml:space="preserve">- </w:t>
            </w:r>
            <w:r w:rsidR="00BB5534" w:rsidRPr="00FB101A">
              <w:rPr>
                <w:rFonts w:ascii="Arial" w:eastAsia="Calibri" w:hAnsi="Arial" w:cs="Arial"/>
                <w:b/>
                <w:bCs/>
              </w:rPr>
              <w:t>357 831</w:t>
            </w:r>
          </w:p>
        </w:tc>
        <w:tc>
          <w:tcPr>
            <w:tcW w:w="1735" w:type="dxa"/>
          </w:tcPr>
          <w:p w14:paraId="47920EE4" w14:textId="654D6957" w:rsidR="00D21155" w:rsidRPr="00FB101A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FB101A">
              <w:rPr>
                <w:rFonts w:ascii="Arial" w:eastAsia="Calibri" w:hAnsi="Arial" w:cs="Arial"/>
                <w:b/>
                <w:bCs/>
              </w:rPr>
              <w:t xml:space="preserve">- </w:t>
            </w:r>
            <w:r w:rsidR="00BB5534" w:rsidRPr="00FB101A">
              <w:rPr>
                <w:rFonts w:ascii="Arial" w:eastAsia="Calibri" w:hAnsi="Arial" w:cs="Arial"/>
                <w:b/>
                <w:bCs/>
              </w:rPr>
              <w:t>436 255</w:t>
            </w:r>
          </w:p>
        </w:tc>
        <w:tc>
          <w:tcPr>
            <w:tcW w:w="1735" w:type="dxa"/>
          </w:tcPr>
          <w:p w14:paraId="49521A24" w14:textId="77777777" w:rsidR="00D21155" w:rsidRPr="00EE4A44" w:rsidRDefault="00D21155" w:rsidP="00BF49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EE4A44">
              <w:rPr>
                <w:rFonts w:ascii="Arial" w:eastAsia="Calibri" w:hAnsi="Arial" w:cs="Arial"/>
                <w:b/>
                <w:bCs/>
              </w:rPr>
              <w:t>N/A</w:t>
            </w:r>
          </w:p>
        </w:tc>
      </w:tr>
      <w:tr w:rsidR="00FB101A" w:rsidRPr="00CD6113" w14:paraId="6FA260ED" w14:textId="77777777" w:rsidTr="00D67CD1">
        <w:tc>
          <w:tcPr>
            <w:tcW w:w="2268" w:type="dxa"/>
          </w:tcPr>
          <w:p w14:paraId="29DF6A58" w14:textId="38D93505" w:rsidR="00FB101A" w:rsidRPr="00CD6113" w:rsidRDefault="00D67CD1" w:rsidP="00FB101A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Návrh ke schválení</w:t>
            </w:r>
          </w:p>
        </w:tc>
        <w:tc>
          <w:tcPr>
            <w:tcW w:w="1595" w:type="dxa"/>
          </w:tcPr>
          <w:p w14:paraId="7AFF6D02" w14:textId="0E17EA09" w:rsidR="00FB101A" w:rsidRPr="00D21155" w:rsidRDefault="00FB101A" w:rsidP="00FB101A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  <w:u w:val="single"/>
              </w:rPr>
            </w:pPr>
            <w:r w:rsidRPr="00D21155">
              <w:rPr>
                <w:rFonts w:ascii="Arial" w:eastAsia="Calibri" w:hAnsi="Arial" w:cs="Arial"/>
                <w:b/>
                <w:bCs/>
              </w:rPr>
              <w:t>1 </w:t>
            </w:r>
            <w:r w:rsidR="00D67CD1">
              <w:rPr>
                <w:rFonts w:ascii="Arial" w:eastAsia="Calibri" w:hAnsi="Arial" w:cs="Arial"/>
                <w:b/>
                <w:bCs/>
              </w:rPr>
              <w:t>995</w:t>
            </w:r>
            <w:r w:rsidRPr="00D21155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D67CD1">
              <w:rPr>
                <w:rFonts w:ascii="Arial" w:eastAsia="Calibri" w:hAnsi="Arial" w:cs="Arial"/>
                <w:b/>
                <w:bCs/>
              </w:rPr>
              <w:t>952</w:t>
            </w:r>
          </w:p>
        </w:tc>
        <w:tc>
          <w:tcPr>
            <w:tcW w:w="1734" w:type="dxa"/>
          </w:tcPr>
          <w:p w14:paraId="3405EB06" w14:textId="16723190" w:rsidR="00FB101A" w:rsidRPr="00D21155" w:rsidRDefault="00FB101A" w:rsidP="00FB101A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  <w:u w:val="single"/>
              </w:rPr>
            </w:pPr>
            <w:r w:rsidRPr="00D21155">
              <w:rPr>
                <w:rFonts w:ascii="Arial" w:eastAsia="Calibri" w:hAnsi="Arial" w:cs="Arial"/>
                <w:b/>
                <w:bCs/>
              </w:rPr>
              <w:t>1 720 000</w:t>
            </w:r>
          </w:p>
        </w:tc>
        <w:tc>
          <w:tcPr>
            <w:tcW w:w="1735" w:type="dxa"/>
          </w:tcPr>
          <w:p w14:paraId="62162469" w14:textId="35E42666" w:rsidR="00FB101A" w:rsidRPr="00D21155" w:rsidRDefault="00FB101A" w:rsidP="00FB101A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  <w:u w:val="single"/>
              </w:rPr>
            </w:pPr>
            <w:r w:rsidRPr="00D21155">
              <w:rPr>
                <w:rFonts w:ascii="Arial" w:eastAsia="Calibri" w:hAnsi="Arial" w:cs="Arial"/>
                <w:b/>
                <w:bCs/>
              </w:rPr>
              <w:t>1 720 000</w:t>
            </w:r>
          </w:p>
        </w:tc>
        <w:tc>
          <w:tcPr>
            <w:tcW w:w="1735" w:type="dxa"/>
          </w:tcPr>
          <w:p w14:paraId="067FCB2E" w14:textId="67B021B4" w:rsidR="00FB101A" w:rsidRPr="00EE4A44" w:rsidRDefault="00FB101A" w:rsidP="00FB101A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1 720 000</w:t>
            </w:r>
          </w:p>
        </w:tc>
      </w:tr>
    </w:tbl>
    <w:p w14:paraId="3DA3D6E7" w14:textId="0E690334" w:rsidR="00D21155" w:rsidRDefault="00D21155" w:rsidP="00D21155">
      <w:pPr>
        <w:spacing w:after="0" w:line="240" w:lineRule="auto"/>
        <w:jc w:val="both"/>
        <w:rPr>
          <w:rFonts w:ascii="Arial" w:eastAsia="Calibri" w:hAnsi="Arial" w:cs="Arial"/>
        </w:rPr>
      </w:pPr>
    </w:p>
    <w:p w14:paraId="3CF62F05" w14:textId="15D280CE" w:rsidR="00FB101A" w:rsidRDefault="00FB101A" w:rsidP="00FB101A">
      <w:pPr>
        <w:spacing w:after="0" w:line="240" w:lineRule="auto"/>
        <w:jc w:val="both"/>
        <w:rPr>
          <w:rFonts w:ascii="Arial" w:eastAsia="Calibri" w:hAnsi="Arial" w:cs="Arial"/>
        </w:rPr>
      </w:pPr>
      <w:r w:rsidRPr="007E7CD1">
        <w:rPr>
          <w:rFonts w:ascii="Arial" w:eastAsia="Calibri" w:hAnsi="Arial" w:cs="Arial"/>
        </w:rPr>
        <w:t xml:space="preserve">Ještě </w:t>
      </w:r>
      <w:r w:rsidRPr="007E7CD1">
        <w:rPr>
          <w:rFonts w:ascii="Arial" w:eastAsia="Calibri" w:hAnsi="Arial" w:cs="Arial"/>
          <w:b/>
          <w:bCs/>
        </w:rPr>
        <w:t>nižší míra financování v letech 2024–2026 by mohla ohrozit už samotnou existenci řady z velkých výzkumných infrastruktur a tímto i naplnění mezinárodních závazků ČR</w:t>
      </w:r>
      <w:r w:rsidRPr="007E7CD1">
        <w:rPr>
          <w:rFonts w:ascii="Arial" w:eastAsia="Calibri" w:hAnsi="Arial" w:cs="Arial"/>
        </w:rPr>
        <w:t xml:space="preserve"> v rámci konsorcií ERIC, kterých se ČR a velké výzkumné infrastruktury účastní.</w:t>
      </w:r>
    </w:p>
    <w:p w14:paraId="4B76B173" w14:textId="77777777" w:rsidR="00FB101A" w:rsidRDefault="00FB101A" w:rsidP="00FB101A">
      <w:pPr>
        <w:spacing w:after="0" w:line="240" w:lineRule="auto"/>
        <w:jc w:val="both"/>
        <w:rPr>
          <w:rFonts w:ascii="Arial" w:eastAsia="Calibri" w:hAnsi="Arial" w:cs="Arial"/>
        </w:rPr>
      </w:pPr>
    </w:p>
    <w:p w14:paraId="2382726E" w14:textId="77777777" w:rsidR="00FB101A" w:rsidRDefault="00FB101A" w:rsidP="00FB101A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Ohledně tzv. </w:t>
      </w:r>
      <w:r>
        <w:rPr>
          <w:rFonts w:ascii="Arial" w:eastAsia="Calibri" w:hAnsi="Arial" w:cs="Arial"/>
          <w:b/>
          <w:bCs/>
        </w:rPr>
        <w:t>ex-ante hodnocených</w:t>
      </w:r>
      <w:r>
        <w:rPr>
          <w:rFonts w:ascii="Arial" w:eastAsia="Calibri" w:hAnsi="Arial" w:cs="Arial"/>
        </w:rPr>
        <w:t xml:space="preserve"> velkých výzkumných infrastruktur, tj. velkých výzkumných infrastruktur, které byly formou nového návrhu projektu předloženy do mezinárodní evaluace, </w:t>
      </w:r>
      <w:r>
        <w:rPr>
          <w:rFonts w:ascii="Arial" w:eastAsia="Calibri" w:hAnsi="Arial" w:cs="Arial"/>
          <w:b/>
          <w:bCs/>
        </w:rPr>
        <w:t>tyto prozatím z účelové podpory MŠMT financovány nebudou</w:t>
      </w:r>
      <w:r>
        <w:rPr>
          <w:rFonts w:ascii="Arial" w:eastAsia="Calibri" w:hAnsi="Arial" w:cs="Arial"/>
        </w:rPr>
        <w:t>.</w:t>
      </w:r>
    </w:p>
    <w:p w14:paraId="387414B9" w14:textId="77777777" w:rsidR="00FB101A" w:rsidRDefault="00FB101A" w:rsidP="00D21155">
      <w:pPr>
        <w:spacing w:after="0" w:line="240" w:lineRule="auto"/>
        <w:jc w:val="both"/>
        <w:rPr>
          <w:rFonts w:ascii="Arial" w:eastAsia="Calibri" w:hAnsi="Arial" w:cs="Arial"/>
        </w:rPr>
      </w:pPr>
    </w:p>
    <w:p w14:paraId="5700CB96" w14:textId="7697BD45" w:rsidR="003458CB" w:rsidRDefault="003458CB" w:rsidP="00C04A62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Pokud</w:t>
      </w:r>
      <w:r w:rsidR="00C04A62">
        <w:rPr>
          <w:rFonts w:ascii="Arial" w:eastAsia="Calibri" w:hAnsi="Arial" w:cs="Arial"/>
        </w:rPr>
        <w:t xml:space="preserve"> dojde k </w:t>
      </w:r>
      <w:r w:rsidR="00CD6113" w:rsidRPr="00A75691">
        <w:rPr>
          <w:rFonts w:ascii="Arial" w:eastAsia="Calibri" w:hAnsi="Arial" w:cs="Arial"/>
        </w:rPr>
        <w:t>pozitivní</w:t>
      </w:r>
      <w:r w:rsidR="00C04A62">
        <w:rPr>
          <w:rFonts w:ascii="Arial" w:eastAsia="Calibri" w:hAnsi="Arial" w:cs="Arial"/>
        </w:rPr>
        <w:t>mu</w:t>
      </w:r>
      <w:r w:rsidR="00CD6113" w:rsidRPr="00A75691">
        <w:rPr>
          <w:rFonts w:ascii="Arial" w:eastAsia="Calibri" w:hAnsi="Arial" w:cs="Arial"/>
        </w:rPr>
        <w:t xml:space="preserve"> vývoj</w:t>
      </w:r>
      <w:r w:rsidR="00C04A62">
        <w:rPr>
          <w:rFonts w:ascii="Arial" w:eastAsia="Calibri" w:hAnsi="Arial" w:cs="Arial"/>
        </w:rPr>
        <w:t>i</w:t>
      </w:r>
      <w:r w:rsidR="00CD6113" w:rsidRPr="00A75691">
        <w:rPr>
          <w:rFonts w:ascii="Arial" w:eastAsia="Calibri" w:hAnsi="Arial" w:cs="Arial"/>
        </w:rPr>
        <w:t xml:space="preserve"> veřejných </w:t>
      </w:r>
      <w:r w:rsidR="00C04A62">
        <w:rPr>
          <w:rFonts w:ascii="Arial" w:eastAsia="Calibri" w:hAnsi="Arial" w:cs="Arial"/>
        </w:rPr>
        <w:t>financí</w:t>
      </w:r>
      <w:r w:rsidR="00CD6113" w:rsidRPr="00A75691">
        <w:rPr>
          <w:rFonts w:ascii="Arial" w:eastAsia="Calibri" w:hAnsi="Arial" w:cs="Arial"/>
        </w:rPr>
        <w:t xml:space="preserve"> ČR</w:t>
      </w:r>
      <w:r w:rsidR="003212CA">
        <w:rPr>
          <w:rFonts w:ascii="Arial" w:eastAsia="Calibri" w:hAnsi="Arial" w:cs="Arial"/>
        </w:rPr>
        <w:t xml:space="preserve"> (a i na</w:t>
      </w:r>
      <w:r w:rsidR="003212CA" w:rsidRPr="003458CB">
        <w:rPr>
          <w:rFonts w:ascii="Arial" w:eastAsia="Calibri" w:hAnsi="Arial" w:cs="Arial"/>
        </w:rPr>
        <w:t>výšení příslušných rozpočtových alokací ve výdaj</w:t>
      </w:r>
      <w:r w:rsidR="003212CA">
        <w:rPr>
          <w:rFonts w:ascii="Arial" w:eastAsia="Calibri" w:hAnsi="Arial" w:cs="Arial"/>
        </w:rPr>
        <w:t>ových rámcích</w:t>
      </w:r>
      <w:r w:rsidR="003212CA" w:rsidRPr="003458CB">
        <w:rPr>
          <w:rFonts w:ascii="Arial" w:eastAsia="Calibri" w:hAnsi="Arial" w:cs="Arial"/>
        </w:rPr>
        <w:t xml:space="preserve"> kapitoly MŠMT</w:t>
      </w:r>
      <w:r w:rsidR="003212CA">
        <w:rPr>
          <w:rFonts w:ascii="Arial" w:eastAsia="Calibri" w:hAnsi="Arial" w:cs="Arial"/>
        </w:rPr>
        <w:t>), mohlo by</w:t>
      </w:r>
      <w:r w:rsidR="00CD6113" w:rsidRPr="00A75691">
        <w:rPr>
          <w:rFonts w:ascii="Arial" w:eastAsia="Calibri" w:hAnsi="Arial" w:cs="Arial"/>
        </w:rPr>
        <w:t xml:space="preserve"> </w:t>
      </w:r>
      <w:r w:rsidR="00C04A62">
        <w:rPr>
          <w:rFonts w:ascii="Arial" w:eastAsia="Calibri" w:hAnsi="Arial" w:cs="Arial"/>
        </w:rPr>
        <w:t>v</w:t>
      </w:r>
      <w:r w:rsidR="003212CA">
        <w:rPr>
          <w:rFonts w:ascii="Arial" w:eastAsia="Calibri" w:hAnsi="Arial" w:cs="Arial"/>
        </w:rPr>
        <w:t xml:space="preserve"> budoucnu eventuálně </w:t>
      </w:r>
      <w:r w:rsidR="00CD6113" w:rsidRPr="00A75691">
        <w:rPr>
          <w:rFonts w:ascii="Arial" w:eastAsia="Calibri" w:hAnsi="Arial" w:cs="Arial"/>
        </w:rPr>
        <w:t xml:space="preserve">dojít </w:t>
      </w:r>
      <w:r w:rsidR="003212CA">
        <w:rPr>
          <w:rFonts w:ascii="Arial" w:eastAsia="Calibri" w:hAnsi="Arial" w:cs="Arial"/>
        </w:rPr>
        <w:t xml:space="preserve">až i </w:t>
      </w:r>
      <w:r w:rsidR="00CD6113" w:rsidRPr="00A75691">
        <w:rPr>
          <w:rFonts w:ascii="Arial" w:eastAsia="Calibri" w:hAnsi="Arial" w:cs="Arial"/>
        </w:rPr>
        <w:t>k</w:t>
      </w:r>
      <w:r w:rsidR="003212CA">
        <w:rPr>
          <w:rFonts w:ascii="Arial" w:eastAsia="Calibri" w:hAnsi="Arial" w:cs="Arial"/>
        </w:rPr>
        <w:t>:</w:t>
      </w:r>
    </w:p>
    <w:p w14:paraId="1135C66C" w14:textId="77777777" w:rsidR="003458CB" w:rsidRDefault="003458CB" w:rsidP="00C04A62">
      <w:pPr>
        <w:spacing w:after="0" w:line="240" w:lineRule="auto"/>
        <w:jc w:val="both"/>
        <w:rPr>
          <w:rFonts w:ascii="Arial" w:eastAsia="Calibri" w:hAnsi="Arial" w:cs="Arial"/>
        </w:rPr>
      </w:pPr>
    </w:p>
    <w:p w14:paraId="3102ABFC" w14:textId="689053A0" w:rsidR="003458CB" w:rsidRPr="003458CB" w:rsidRDefault="00CD6113" w:rsidP="003458CB">
      <w:pPr>
        <w:pStyle w:val="Odstavecseseznamem"/>
        <w:numPr>
          <w:ilvl w:val="0"/>
          <w:numId w:val="8"/>
        </w:num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3458CB">
        <w:rPr>
          <w:rFonts w:ascii="Arial" w:eastAsia="Calibri" w:hAnsi="Arial" w:cs="Arial"/>
          <w:b/>
          <w:bCs/>
        </w:rPr>
        <w:t xml:space="preserve">navýšení </w:t>
      </w:r>
      <w:r w:rsidR="00C04A62" w:rsidRPr="003458CB">
        <w:rPr>
          <w:rFonts w:ascii="Arial" w:eastAsia="Calibri" w:hAnsi="Arial" w:cs="Arial"/>
          <w:b/>
          <w:bCs/>
        </w:rPr>
        <w:t xml:space="preserve">míry </w:t>
      </w:r>
      <w:r w:rsidRPr="003458CB">
        <w:rPr>
          <w:rFonts w:ascii="Arial" w:eastAsia="Calibri" w:hAnsi="Arial" w:cs="Arial"/>
          <w:b/>
          <w:bCs/>
        </w:rPr>
        <w:t xml:space="preserve">financování </w:t>
      </w:r>
      <w:r w:rsidRPr="003458CB">
        <w:rPr>
          <w:rFonts w:ascii="Arial" w:eastAsia="Calibri" w:hAnsi="Arial" w:cs="Arial"/>
        </w:rPr>
        <w:t>velkých výzkumných infrastruktur směrem k</w:t>
      </w:r>
      <w:r w:rsidR="00576363">
        <w:rPr>
          <w:rFonts w:ascii="Arial" w:eastAsia="Calibri" w:hAnsi="Arial" w:cs="Arial"/>
        </w:rPr>
        <w:t> </w:t>
      </w:r>
      <w:r w:rsidRPr="003458CB">
        <w:rPr>
          <w:rFonts w:ascii="Arial" w:eastAsia="Calibri" w:hAnsi="Arial" w:cs="Arial"/>
        </w:rPr>
        <w:t>optimální</w:t>
      </w:r>
      <w:r w:rsidR="00576363">
        <w:rPr>
          <w:rFonts w:ascii="Arial" w:eastAsia="Calibri" w:hAnsi="Arial" w:cs="Arial"/>
        </w:rPr>
        <w:t>, tzn.,</w:t>
      </w:r>
      <w:r w:rsidR="003458CB">
        <w:rPr>
          <w:rFonts w:ascii="Arial" w:eastAsia="Calibri" w:hAnsi="Arial" w:cs="Arial"/>
        </w:rPr>
        <w:t xml:space="preserve"> </w:t>
      </w:r>
      <w:r w:rsidR="00576363">
        <w:rPr>
          <w:rFonts w:ascii="Arial" w:eastAsia="Calibri" w:hAnsi="Arial" w:cs="Arial"/>
        </w:rPr>
        <w:t xml:space="preserve">jimi </w:t>
      </w:r>
      <w:r w:rsidRPr="003458CB">
        <w:rPr>
          <w:rFonts w:ascii="Arial" w:eastAsia="Calibri" w:hAnsi="Arial" w:cs="Arial"/>
        </w:rPr>
        <w:t>žádané výši podpory,</w:t>
      </w:r>
      <w:r w:rsidR="003458CB">
        <w:rPr>
          <w:rFonts w:ascii="Arial" w:eastAsia="Calibri" w:hAnsi="Arial" w:cs="Arial"/>
        </w:rPr>
        <w:t xml:space="preserve"> </w:t>
      </w:r>
      <w:r w:rsidR="00576363">
        <w:rPr>
          <w:rFonts w:ascii="Arial" w:eastAsia="Calibri" w:hAnsi="Arial" w:cs="Arial"/>
        </w:rPr>
        <w:t xml:space="preserve">a to </w:t>
      </w:r>
      <w:r w:rsidRPr="003458CB">
        <w:rPr>
          <w:rFonts w:ascii="Arial" w:eastAsia="Calibri" w:hAnsi="Arial" w:cs="Arial"/>
        </w:rPr>
        <w:t>v souladu s ust. § 9 odst. 7 zákona o podpoře výzkumu, experimentálního vývoje a inovací (= není nutné schválení vládou ČR)</w:t>
      </w:r>
      <w:r w:rsidR="003458CB">
        <w:rPr>
          <w:rFonts w:ascii="Arial" w:eastAsia="Calibri" w:hAnsi="Arial" w:cs="Arial"/>
        </w:rPr>
        <w:t>;</w:t>
      </w:r>
    </w:p>
    <w:p w14:paraId="5CF2D561" w14:textId="77777777" w:rsidR="003458CB" w:rsidRDefault="003458CB" w:rsidP="003458CB">
      <w:pPr>
        <w:pStyle w:val="Odstavecseseznamem"/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14:paraId="091D110D" w14:textId="411B7286" w:rsidR="003458CB" w:rsidRDefault="00CD6113" w:rsidP="003458CB">
      <w:pPr>
        <w:pStyle w:val="Odstavecseseznamem"/>
        <w:numPr>
          <w:ilvl w:val="0"/>
          <w:numId w:val="8"/>
        </w:num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3458CB">
        <w:rPr>
          <w:rFonts w:ascii="Arial" w:eastAsia="Calibri" w:hAnsi="Arial" w:cs="Arial"/>
          <w:b/>
          <w:bCs/>
        </w:rPr>
        <w:t xml:space="preserve">financování </w:t>
      </w:r>
      <w:r w:rsidR="003458CB">
        <w:rPr>
          <w:rFonts w:ascii="Arial" w:eastAsia="Calibri" w:hAnsi="Arial" w:cs="Arial"/>
          <w:b/>
          <w:bCs/>
        </w:rPr>
        <w:t xml:space="preserve">tzv. </w:t>
      </w:r>
      <w:r w:rsidRPr="003458CB">
        <w:rPr>
          <w:rFonts w:ascii="Arial" w:eastAsia="Calibri" w:hAnsi="Arial" w:cs="Arial"/>
          <w:b/>
          <w:bCs/>
        </w:rPr>
        <w:t xml:space="preserve">ex-ante hodnocených </w:t>
      </w:r>
      <w:r w:rsidR="00C04A62" w:rsidRPr="003458CB">
        <w:rPr>
          <w:rFonts w:ascii="Arial" w:eastAsia="Calibri" w:hAnsi="Arial" w:cs="Arial"/>
          <w:b/>
          <w:bCs/>
        </w:rPr>
        <w:t xml:space="preserve">nových </w:t>
      </w:r>
      <w:r w:rsidRPr="003458CB">
        <w:rPr>
          <w:rFonts w:ascii="Arial" w:eastAsia="Calibri" w:hAnsi="Arial" w:cs="Arial"/>
          <w:b/>
          <w:bCs/>
        </w:rPr>
        <w:t xml:space="preserve">návrhů projektů </w:t>
      </w:r>
      <w:r w:rsidR="004C0C49" w:rsidRPr="003458CB">
        <w:rPr>
          <w:rFonts w:ascii="Arial" w:eastAsia="Calibri" w:hAnsi="Arial" w:cs="Arial"/>
        </w:rPr>
        <w:t xml:space="preserve">velkých výzkumných infrastruktur </w:t>
      </w:r>
      <w:r w:rsidRPr="003458CB">
        <w:rPr>
          <w:rFonts w:ascii="Arial" w:eastAsia="Calibri" w:hAnsi="Arial" w:cs="Arial"/>
        </w:rPr>
        <w:t>(= je n</w:t>
      </w:r>
      <w:r w:rsidR="003458CB">
        <w:rPr>
          <w:rFonts w:ascii="Arial" w:eastAsia="Calibri" w:hAnsi="Arial" w:cs="Arial"/>
        </w:rPr>
        <w:t>u</w:t>
      </w:r>
      <w:r w:rsidRPr="003458CB">
        <w:rPr>
          <w:rFonts w:ascii="Arial" w:eastAsia="Calibri" w:hAnsi="Arial" w:cs="Arial"/>
        </w:rPr>
        <w:t>tné schválení vládou ČR)</w:t>
      </w:r>
      <w:r w:rsidR="00C04A62" w:rsidRPr="003458CB">
        <w:rPr>
          <w:rFonts w:ascii="Arial" w:eastAsia="Calibri" w:hAnsi="Arial" w:cs="Arial"/>
        </w:rPr>
        <w:t>, které v mezinárodním hodnocení dosáhly na kvalitativní úrov</w:t>
      </w:r>
      <w:r w:rsidR="004C0C49">
        <w:rPr>
          <w:rFonts w:ascii="Arial" w:eastAsia="Calibri" w:hAnsi="Arial" w:cs="Arial"/>
        </w:rPr>
        <w:t>ně</w:t>
      </w:r>
      <w:r w:rsidR="00C04A62" w:rsidRPr="003458CB">
        <w:rPr>
          <w:rFonts w:ascii="Arial" w:eastAsia="Calibri" w:hAnsi="Arial" w:cs="Arial"/>
        </w:rPr>
        <w:t xml:space="preserve"> </w:t>
      </w:r>
      <w:r w:rsidR="004C0C49">
        <w:rPr>
          <w:rFonts w:ascii="Arial" w:eastAsia="Calibri" w:hAnsi="Arial" w:cs="Arial"/>
        </w:rPr>
        <w:t>označené</w:t>
      </w:r>
      <w:r w:rsidR="003458CB">
        <w:rPr>
          <w:rFonts w:ascii="Arial" w:eastAsia="Calibri" w:hAnsi="Arial" w:cs="Arial"/>
        </w:rPr>
        <w:t xml:space="preserve"> </w:t>
      </w:r>
      <w:r w:rsidR="00C04A62" w:rsidRPr="003458CB">
        <w:rPr>
          <w:rFonts w:ascii="Arial" w:eastAsia="Calibri" w:hAnsi="Arial" w:cs="Arial"/>
        </w:rPr>
        <w:t>stupn</w:t>
      </w:r>
      <w:r w:rsidR="004C0C49">
        <w:rPr>
          <w:rFonts w:ascii="Arial" w:eastAsia="Calibri" w:hAnsi="Arial" w:cs="Arial"/>
        </w:rPr>
        <w:t>i</w:t>
      </w:r>
      <w:r w:rsidR="00C04A62" w:rsidRPr="003458CB">
        <w:rPr>
          <w:rFonts w:ascii="Arial" w:eastAsia="Calibri" w:hAnsi="Arial" w:cs="Arial"/>
        </w:rPr>
        <w:t xml:space="preserve"> 5 a 4</w:t>
      </w:r>
      <w:r w:rsidR="00576363">
        <w:rPr>
          <w:rFonts w:ascii="Arial" w:eastAsia="Calibri" w:hAnsi="Arial" w:cs="Arial"/>
        </w:rPr>
        <w:t>, a následné aktualizaci Cestovní mapy velkých výzkumných infrastruktur ČR</w:t>
      </w:r>
      <w:r w:rsidR="003212CA">
        <w:rPr>
          <w:rFonts w:ascii="Arial" w:eastAsia="Calibri" w:hAnsi="Arial" w:cs="Arial"/>
        </w:rPr>
        <w:t>.</w:t>
      </w:r>
    </w:p>
    <w:p w14:paraId="7F47D73C" w14:textId="77777777" w:rsidR="00FB101A" w:rsidRDefault="00FB101A" w:rsidP="00737477">
      <w:pPr>
        <w:spacing w:after="0" w:line="240" w:lineRule="auto"/>
        <w:jc w:val="both"/>
        <w:rPr>
          <w:rFonts w:ascii="Arial" w:eastAsia="Calibri" w:hAnsi="Arial" w:cs="Arial"/>
        </w:rPr>
      </w:pPr>
    </w:p>
    <w:p w14:paraId="5CEA933C" w14:textId="78722EEF" w:rsidR="00CD6113" w:rsidRDefault="00CD6113" w:rsidP="00737477">
      <w:pPr>
        <w:spacing w:after="0" w:line="240" w:lineRule="auto"/>
        <w:jc w:val="both"/>
        <w:rPr>
          <w:rFonts w:ascii="Arial" w:eastAsia="Calibri" w:hAnsi="Arial" w:cs="Arial"/>
        </w:rPr>
      </w:pPr>
      <w:r w:rsidRPr="00A75691">
        <w:rPr>
          <w:rFonts w:ascii="Arial" w:eastAsia="Calibri" w:hAnsi="Arial" w:cs="Arial"/>
        </w:rPr>
        <w:t>K </w:t>
      </w:r>
      <w:r w:rsidR="00737477">
        <w:rPr>
          <w:rFonts w:ascii="Arial" w:eastAsia="Calibri" w:hAnsi="Arial" w:cs="Arial"/>
        </w:rPr>
        <w:t>modifikacím</w:t>
      </w:r>
      <w:r w:rsidRPr="00A75691">
        <w:rPr>
          <w:rFonts w:ascii="Arial" w:eastAsia="Calibri" w:hAnsi="Arial" w:cs="Arial"/>
        </w:rPr>
        <w:t xml:space="preserve"> financování velkých výzkumných infrastruktur z</w:t>
      </w:r>
      <w:r w:rsidR="00737477">
        <w:rPr>
          <w:rFonts w:ascii="Arial" w:eastAsia="Calibri" w:hAnsi="Arial" w:cs="Arial"/>
        </w:rPr>
        <w:t>e zdrojů</w:t>
      </w:r>
      <w:r w:rsidRPr="00A75691">
        <w:rPr>
          <w:rFonts w:ascii="Arial" w:eastAsia="Calibri" w:hAnsi="Arial" w:cs="Arial"/>
        </w:rPr>
        <w:t xml:space="preserve"> účelové podpory MŠMT může dojít </w:t>
      </w:r>
      <w:r w:rsidR="0034057D">
        <w:rPr>
          <w:rFonts w:ascii="Arial" w:eastAsia="Calibri" w:hAnsi="Arial" w:cs="Arial"/>
        </w:rPr>
        <w:t>i</w:t>
      </w:r>
      <w:r w:rsidR="00737477">
        <w:rPr>
          <w:rFonts w:ascii="Arial" w:eastAsia="Calibri" w:hAnsi="Arial" w:cs="Arial"/>
        </w:rPr>
        <w:t xml:space="preserve"> </w:t>
      </w:r>
      <w:r w:rsidRPr="0034057D">
        <w:rPr>
          <w:rFonts w:ascii="Arial" w:eastAsia="Calibri" w:hAnsi="Arial" w:cs="Arial"/>
        </w:rPr>
        <w:t>na základě zohlednění prioritních oblastí</w:t>
      </w:r>
      <w:r w:rsidR="00737477" w:rsidRPr="0034057D">
        <w:rPr>
          <w:rFonts w:ascii="Arial" w:eastAsia="Calibri" w:hAnsi="Arial" w:cs="Arial"/>
        </w:rPr>
        <w:t xml:space="preserve"> VaVaI</w:t>
      </w:r>
      <w:r w:rsidRPr="0034057D">
        <w:rPr>
          <w:rFonts w:ascii="Arial" w:eastAsia="Calibri" w:hAnsi="Arial" w:cs="Arial"/>
        </w:rPr>
        <w:t xml:space="preserve">, </w:t>
      </w:r>
      <w:r w:rsidR="00737477" w:rsidRPr="0034057D">
        <w:rPr>
          <w:rFonts w:ascii="Arial" w:eastAsia="Calibri" w:hAnsi="Arial" w:cs="Arial"/>
        </w:rPr>
        <w:t>avšak</w:t>
      </w:r>
      <w:r w:rsidRPr="0034057D">
        <w:rPr>
          <w:rFonts w:ascii="Arial" w:eastAsia="Calibri" w:hAnsi="Arial" w:cs="Arial"/>
        </w:rPr>
        <w:t xml:space="preserve"> vždy po řádném projednání takového nástroje prioritizace s relevantními resorty a jeho schválení vládou ČR jako nástroje, </w:t>
      </w:r>
      <w:r w:rsidR="0034057D">
        <w:rPr>
          <w:rFonts w:ascii="Arial" w:eastAsia="Calibri" w:hAnsi="Arial" w:cs="Arial"/>
        </w:rPr>
        <w:t>který</w:t>
      </w:r>
      <w:r w:rsidRPr="0034057D">
        <w:rPr>
          <w:rFonts w:ascii="Arial" w:eastAsia="Calibri" w:hAnsi="Arial" w:cs="Arial"/>
        </w:rPr>
        <w:t xml:space="preserve"> bude reflektován </w:t>
      </w:r>
      <w:r w:rsidR="00737477" w:rsidRPr="0034057D">
        <w:rPr>
          <w:rFonts w:ascii="Arial" w:eastAsia="Calibri" w:hAnsi="Arial" w:cs="Arial"/>
        </w:rPr>
        <w:t>napříč všemi</w:t>
      </w:r>
      <w:r w:rsidRPr="0034057D">
        <w:rPr>
          <w:rFonts w:ascii="Arial" w:eastAsia="Calibri" w:hAnsi="Arial" w:cs="Arial"/>
        </w:rPr>
        <w:t xml:space="preserve"> dotační</w:t>
      </w:r>
      <w:r w:rsidR="00737477" w:rsidRPr="0034057D">
        <w:rPr>
          <w:rFonts w:ascii="Arial" w:eastAsia="Calibri" w:hAnsi="Arial" w:cs="Arial"/>
        </w:rPr>
        <w:t>mi</w:t>
      </w:r>
      <w:r w:rsidRPr="0034057D">
        <w:rPr>
          <w:rFonts w:ascii="Arial" w:eastAsia="Calibri" w:hAnsi="Arial" w:cs="Arial"/>
        </w:rPr>
        <w:t xml:space="preserve"> titul</w:t>
      </w:r>
      <w:r w:rsidR="00737477" w:rsidRPr="0034057D">
        <w:rPr>
          <w:rFonts w:ascii="Arial" w:eastAsia="Calibri" w:hAnsi="Arial" w:cs="Arial"/>
        </w:rPr>
        <w:t>y</w:t>
      </w:r>
      <w:r w:rsidRPr="0034057D">
        <w:rPr>
          <w:rFonts w:ascii="Arial" w:eastAsia="Calibri" w:hAnsi="Arial" w:cs="Arial"/>
        </w:rPr>
        <w:t xml:space="preserve"> poskytovatelů jako </w:t>
      </w:r>
      <w:r w:rsidRPr="0034057D">
        <w:rPr>
          <w:rFonts w:ascii="Arial" w:eastAsia="Calibri" w:hAnsi="Arial" w:cs="Arial"/>
          <w:b/>
          <w:bCs/>
        </w:rPr>
        <w:t>národní priority ČR</w:t>
      </w:r>
      <w:r w:rsidR="00737477">
        <w:rPr>
          <w:rFonts w:ascii="Arial" w:eastAsia="Calibri" w:hAnsi="Arial" w:cs="Arial"/>
        </w:rPr>
        <w:t>.</w:t>
      </w:r>
    </w:p>
    <w:p w14:paraId="4F7F732C" w14:textId="2B2480E8" w:rsidR="0086508C" w:rsidRDefault="0086508C" w:rsidP="00737477">
      <w:pPr>
        <w:spacing w:after="0" w:line="240" w:lineRule="auto"/>
        <w:jc w:val="both"/>
        <w:rPr>
          <w:rFonts w:ascii="Arial" w:eastAsia="Calibri" w:hAnsi="Arial" w:cs="Arial"/>
        </w:rPr>
      </w:pPr>
    </w:p>
    <w:p w14:paraId="1BCEF1FB" w14:textId="049B6614" w:rsidR="0086508C" w:rsidRPr="0091714E" w:rsidRDefault="0086508C" w:rsidP="0086508C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 w:rsidRPr="0091714E">
        <w:rPr>
          <w:rFonts w:ascii="Arial" w:eastAsia="Calibri" w:hAnsi="Arial" w:cs="Arial"/>
          <w:b/>
          <w:bCs/>
          <w:u w:val="single"/>
        </w:rPr>
        <w:t>Strukturální rozpočtový deficit</w:t>
      </w:r>
    </w:p>
    <w:p w14:paraId="30377A72" w14:textId="77777777" w:rsidR="0086508C" w:rsidRPr="0086508C" w:rsidRDefault="0086508C" w:rsidP="0086508C">
      <w:pPr>
        <w:spacing w:after="0" w:line="240" w:lineRule="auto"/>
        <w:jc w:val="both"/>
        <w:rPr>
          <w:rFonts w:ascii="Arial" w:eastAsia="Calibri" w:hAnsi="Arial" w:cs="Arial"/>
        </w:rPr>
      </w:pPr>
    </w:p>
    <w:p w14:paraId="5B613257" w14:textId="70F28CD5" w:rsidR="0086508C" w:rsidRDefault="0086508C" w:rsidP="0086508C">
      <w:pPr>
        <w:spacing w:after="0" w:line="240" w:lineRule="auto"/>
        <w:jc w:val="both"/>
        <w:rPr>
          <w:rFonts w:ascii="Arial" w:eastAsia="Calibri" w:hAnsi="Arial" w:cs="Arial"/>
        </w:rPr>
      </w:pPr>
      <w:r w:rsidRPr="0086508C">
        <w:rPr>
          <w:rFonts w:ascii="Arial" w:eastAsia="Calibri" w:hAnsi="Arial" w:cs="Arial"/>
        </w:rPr>
        <w:t xml:space="preserve">Jakkoliv se v případě velkých výzkumných infrastruktur jedná o výjimečná výzkumná zařízení o jedinečné znalostní a technologické povaze a jejich provoz a další investiční rozvoj s sebou nesou vysoké profesní, materiální a finanční nároky, </w:t>
      </w:r>
      <w:r w:rsidRPr="00CF2208">
        <w:rPr>
          <w:rFonts w:ascii="Arial" w:eastAsia="Calibri" w:hAnsi="Arial" w:cs="Arial"/>
          <w:b/>
          <w:bCs/>
        </w:rPr>
        <w:t>rozpočtový rámec financování velkých výzkumných infrastruktur byl v</w:t>
      </w:r>
      <w:r w:rsidR="001526B9" w:rsidRPr="00CF2208">
        <w:rPr>
          <w:rFonts w:ascii="Arial" w:eastAsia="Calibri" w:hAnsi="Arial" w:cs="Arial"/>
          <w:b/>
          <w:bCs/>
        </w:rPr>
        <w:t> </w:t>
      </w:r>
      <w:r w:rsidRPr="00CF2208">
        <w:rPr>
          <w:rFonts w:ascii="Arial" w:eastAsia="Calibri" w:hAnsi="Arial" w:cs="Arial"/>
          <w:b/>
          <w:bCs/>
        </w:rPr>
        <w:t>uplynulých letech fixován na úrovni 1 720 mil. Kč ročně</w:t>
      </w:r>
      <w:r w:rsidR="00CF2208">
        <w:rPr>
          <w:rStyle w:val="Znakapoznpodarou"/>
          <w:rFonts w:ascii="Arial" w:eastAsia="Calibri" w:hAnsi="Arial" w:cs="Arial"/>
          <w:b/>
          <w:bCs/>
        </w:rPr>
        <w:footnoteReference w:id="6"/>
      </w:r>
      <w:r w:rsidRPr="00CF2208">
        <w:rPr>
          <w:rFonts w:ascii="Arial" w:eastAsia="Calibri" w:hAnsi="Arial" w:cs="Arial"/>
          <w:b/>
          <w:bCs/>
        </w:rPr>
        <w:t xml:space="preserve"> </w:t>
      </w:r>
      <w:r w:rsidRPr="00CF2208">
        <w:rPr>
          <w:rFonts w:ascii="Arial" w:eastAsia="Calibri" w:hAnsi="Arial" w:cs="Arial"/>
        </w:rPr>
        <w:t>(i tak se jednalo o</w:t>
      </w:r>
      <w:r w:rsidR="001526B9" w:rsidRPr="00CF2208">
        <w:rPr>
          <w:rFonts w:ascii="Arial" w:eastAsia="Calibri" w:hAnsi="Arial" w:cs="Arial"/>
        </w:rPr>
        <w:t> </w:t>
      </w:r>
      <w:r w:rsidRPr="00CF2208">
        <w:rPr>
          <w:rFonts w:ascii="Arial" w:eastAsia="Calibri" w:hAnsi="Arial" w:cs="Arial"/>
        </w:rPr>
        <w:t>redukovanou výši podpory)</w:t>
      </w:r>
      <w:r w:rsidRPr="00CF2208">
        <w:rPr>
          <w:rFonts w:ascii="Arial" w:eastAsia="Calibri" w:hAnsi="Arial" w:cs="Arial"/>
          <w:b/>
          <w:bCs/>
        </w:rPr>
        <w:t>, aniž by byla reflektována alespoň meziroční inflace.</w:t>
      </w:r>
      <w:r w:rsidRPr="0086508C">
        <w:rPr>
          <w:rFonts w:ascii="Arial" w:eastAsia="Calibri" w:hAnsi="Arial" w:cs="Arial"/>
        </w:rPr>
        <w:t xml:space="preserve"> </w:t>
      </w:r>
      <w:r w:rsidR="003A6DE0">
        <w:rPr>
          <w:rFonts w:ascii="Arial" w:eastAsia="Calibri" w:hAnsi="Arial" w:cs="Arial"/>
        </w:rPr>
        <w:t>Výlučně</w:t>
      </w:r>
      <w:r w:rsidRPr="0086508C">
        <w:rPr>
          <w:rFonts w:ascii="Arial" w:eastAsia="Calibri" w:hAnsi="Arial" w:cs="Arial"/>
        </w:rPr>
        <w:t xml:space="preserve"> kumulativní inflace přitom za uplynulá léta a rok současný dosahuje několik desítek procent</w:t>
      </w:r>
      <w:r>
        <w:rPr>
          <w:rFonts w:ascii="Arial" w:eastAsia="Calibri" w:hAnsi="Arial" w:cs="Arial"/>
        </w:rPr>
        <w:t>, a</w:t>
      </w:r>
      <w:r w:rsidR="001526B9">
        <w:rPr>
          <w:rFonts w:ascii="Arial" w:eastAsia="Calibri" w:hAnsi="Arial" w:cs="Arial"/>
        </w:rPr>
        <w:t> </w:t>
      </w:r>
      <w:r>
        <w:rPr>
          <w:rFonts w:ascii="Arial" w:eastAsia="Calibri" w:hAnsi="Arial" w:cs="Arial"/>
        </w:rPr>
        <w:t xml:space="preserve">to zejména za poslední </w:t>
      </w:r>
      <w:r w:rsidR="003A6DE0">
        <w:rPr>
          <w:rFonts w:ascii="Arial" w:eastAsia="Calibri" w:hAnsi="Arial" w:cs="Arial"/>
        </w:rPr>
        <w:t>2</w:t>
      </w:r>
      <w:r>
        <w:rPr>
          <w:rFonts w:ascii="Arial" w:eastAsia="Calibri" w:hAnsi="Arial" w:cs="Arial"/>
        </w:rPr>
        <w:t xml:space="preserve"> roky, které uplynuly od přípravy </w:t>
      </w:r>
      <w:r w:rsidR="003A6DE0">
        <w:rPr>
          <w:rFonts w:ascii="Arial" w:eastAsia="Calibri" w:hAnsi="Arial" w:cs="Arial"/>
        </w:rPr>
        <w:t xml:space="preserve">návrhů </w:t>
      </w:r>
      <w:r>
        <w:rPr>
          <w:rFonts w:ascii="Arial" w:eastAsia="Calibri" w:hAnsi="Arial" w:cs="Arial"/>
        </w:rPr>
        <w:t>projektů velkých výzkumných infrastruktur</w:t>
      </w:r>
      <w:r w:rsidR="00362212">
        <w:rPr>
          <w:rFonts w:ascii="Arial" w:eastAsia="Calibri" w:hAnsi="Arial" w:cs="Arial"/>
        </w:rPr>
        <w:t xml:space="preserve"> pro nastávající období</w:t>
      </w:r>
      <w:r w:rsidRPr="0086508C">
        <w:rPr>
          <w:rFonts w:ascii="Arial" w:eastAsia="Calibri" w:hAnsi="Arial" w:cs="Arial"/>
        </w:rPr>
        <w:t>.</w:t>
      </w:r>
    </w:p>
    <w:p w14:paraId="32721C06" w14:textId="251962BB" w:rsidR="0086508C" w:rsidRDefault="0086508C" w:rsidP="0086508C">
      <w:pPr>
        <w:spacing w:after="0" w:line="240" w:lineRule="auto"/>
        <w:jc w:val="both"/>
        <w:rPr>
          <w:rFonts w:ascii="Arial" w:eastAsia="Calibri" w:hAnsi="Arial" w:cs="Arial"/>
        </w:rPr>
      </w:pPr>
      <w:r w:rsidRPr="0086508C">
        <w:rPr>
          <w:rFonts w:ascii="Arial" w:eastAsia="Calibri" w:hAnsi="Arial" w:cs="Arial"/>
        </w:rPr>
        <w:t>Pokles v reálném financování velkých výzkumných infrastruktur za poslední roky je tedy velmi dramatický, přičemž nepříznivý stav panoval již před zahájením vojenské agrese Ruska vůči Ukrajině</w:t>
      </w:r>
      <w:r w:rsidR="001526B9">
        <w:rPr>
          <w:rFonts w:ascii="Arial" w:eastAsia="Calibri" w:hAnsi="Arial" w:cs="Arial"/>
        </w:rPr>
        <w:t xml:space="preserve"> a jejích příprav v podobě vyvolání energetické krize v Evropě na podzim </w:t>
      </w:r>
      <w:r w:rsidR="003A6DE0">
        <w:rPr>
          <w:rFonts w:ascii="Arial" w:eastAsia="Calibri" w:hAnsi="Arial" w:cs="Arial"/>
        </w:rPr>
        <w:t xml:space="preserve">roku </w:t>
      </w:r>
      <w:r w:rsidR="001526B9">
        <w:rPr>
          <w:rFonts w:ascii="Arial" w:eastAsia="Calibri" w:hAnsi="Arial" w:cs="Arial"/>
        </w:rPr>
        <w:t>2021</w:t>
      </w:r>
      <w:r w:rsidRPr="0086508C">
        <w:rPr>
          <w:rFonts w:ascii="Arial" w:eastAsia="Calibri" w:hAnsi="Arial" w:cs="Arial"/>
        </w:rPr>
        <w:t xml:space="preserve">. </w:t>
      </w:r>
      <w:r w:rsidR="00C66A54">
        <w:rPr>
          <w:rFonts w:ascii="Arial" w:eastAsia="Calibri" w:hAnsi="Arial" w:cs="Arial"/>
        </w:rPr>
        <w:t>Invaze</w:t>
      </w:r>
      <w:r w:rsidRPr="0086508C">
        <w:rPr>
          <w:rFonts w:ascii="Arial" w:eastAsia="Calibri" w:hAnsi="Arial" w:cs="Arial"/>
        </w:rPr>
        <w:t xml:space="preserve"> následně</w:t>
      </w:r>
      <w:r w:rsidR="001526B9">
        <w:rPr>
          <w:rFonts w:ascii="Arial" w:eastAsia="Calibri" w:hAnsi="Arial" w:cs="Arial"/>
        </w:rPr>
        <w:t xml:space="preserve"> </w:t>
      </w:r>
      <w:r w:rsidR="003A6DE0">
        <w:rPr>
          <w:rFonts w:ascii="Arial" w:eastAsia="Calibri" w:hAnsi="Arial" w:cs="Arial"/>
        </w:rPr>
        <w:t xml:space="preserve">dále </w:t>
      </w:r>
      <w:r w:rsidR="001526B9">
        <w:rPr>
          <w:rFonts w:ascii="Arial" w:eastAsia="Calibri" w:hAnsi="Arial" w:cs="Arial"/>
        </w:rPr>
        <w:t>prohloubila</w:t>
      </w:r>
      <w:r w:rsidRPr="0086508C">
        <w:rPr>
          <w:rFonts w:ascii="Arial" w:eastAsia="Calibri" w:hAnsi="Arial" w:cs="Arial"/>
        </w:rPr>
        <w:t xml:space="preserve"> energetickou krizi a </w:t>
      </w:r>
      <w:r w:rsidR="001526B9" w:rsidRPr="0086508C">
        <w:rPr>
          <w:rFonts w:ascii="Arial" w:eastAsia="Calibri" w:hAnsi="Arial" w:cs="Arial"/>
        </w:rPr>
        <w:t xml:space="preserve">vyvolala </w:t>
      </w:r>
      <w:r w:rsidRPr="0086508C">
        <w:rPr>
          <w:rFonts w:ascii="Arial" w:eastAsia="Calibri" w:hAnsi="Arial" w:cs="Arial"/>
        </w:rPr>
        <w:t xml:space="preserve">enormní inflaci, což strukturální rozpočtový deficit </w:t>
      </w:r>
      <w:r w:rsidR="003A6DE0">
        <w:rPr>
          <w:rFonts w:ascii="Arial" w:eastAsia="Calibri" w:hAnsi="Arial" w:cs="Arial"/>
        </w:rPr>
        <w:t xml:space="preserve">ve </w:t>
      </w:r>
      <w:r w:rsidRPr="0086508C">
        <w:rPr>
          <w:rFonts w:ascii="Arial" w:eastAsia="Calibri" w:hAnsi="Arial" w:cs="Arial"/>
        </w:rPr>
        <w:t>financování velkých výzkumných infrastruktur ještě více prohloubilo.</w:t>
      </w:r>
      <w:r>
        <w:rPr>
          <w:rFonts w:ascii="Arial" w:eastAsia="Calibri" w:hAnsi="Arial" w:cs="Arial"/>
        </w:rPr>
        <w:t xml:space="preserve"> Ten</w:t>
      </w:r>
      <w:r w:rsidRPr="0086508C">
        <w:t xml:space="preserve"> </w:t>
      </w:r>
      <w:r w:rsidRPr="0086508C">
        <w:rPr>
          <w:rFonts w:ascii="Arial" w:eastAsia="Calibri" w:hAnsi="Arial" w:cs="Arial"/>
        </w:rPr>
        <w:t xml:space="preserve">v dalších letech </w:t>
      </w:r>
      <w:r w:rsidR="003A6DE0">
        <w:rPr>
          <w:rFonts w:ascii="Arial" w:eastAsia="Calibri" w:hAnsi="Arial" w:cs="Arial"/>
        </w:rPr>
        <w:t>může vést</w:t>
      </w:r>
      <w:r>
        <w:rPr>
          <w:rFonts w:ascii="Arial" w:eastAsia="Calibri" w:hAnsi="Arial" w:cs="Arial"/>
        </w:rPr>
        <w:t xml:space="preserve"> </w:t>
      </w:r>
      <w:r w:rsidRPr="0086508C">
        <w:rPr>
          <w:rFonts w:ascii="Arial" w:eastAsia="Calibri" w:hAnsi="Arial" w:cs="Arial"/>
        </w:rPr>
        <w:t xml:space="preserve">nejen ke znemožnění působení velkých výzkumných infrastruktur na kvalitativní úrovni blížící se té stávající, </w:t>
      </w:r>
      <w:r w:rsidR="003A6DE0">
        <w:rPr>
          <w:rFonts w:ascii="Arial" w:eastAsia="Calibri" w:hAnsi="Arial" w:cs="Arial"/>
        </w:rPr>
        <w:t>ale</w:t>
      </w:r>
      <w:r w:rsidRPr="0086508C">
        <w:rPr>
          <w:rFonts w:ascii="Arial" w:eastAsia="Calibri" w:hAnsi="Arial" w:cs="Arial"/>
        </w:rPr>
        <w:t xml:space="preserve"> v mnohých případech </w:t>
      </w:r>
      <w:r w:rsidR="003A6DE0">
        <w:rPr>
          <w:rFonts w:ascii="Arial" w:eastAsia="Calibri" w:hAnsi="Arial" w:cs="Arial"/>
        </w:rPr>
        <w:t xml:space="preserve">i </w:t>
      </w:r>
      <w:r w:rsidRPr="0086508C">
        <w:rPr>
          <w:rFonts w:ascii="Arial" w:eastAsia="Calibri" w:hAnsi="Arial" w:cs="Arial"/>
        </w:rPr>
        <w:t>k podstatnému omezení výkonu jejich činností</w:t>
      </w:r>
      <w:r w:rsidR="00C66A54">
        <w:rPr>
          <w:rFonts w:ascii="Arial" w:eastAsia="Calibri" w:hAnsi="Arial" w:cs="Arial"/>
        </w:rPr>
        <w:t>, popř. i</w:t>
      </w:r>
      <w:r w:rsidRPr="0086508C">
        <w:rPr>
          <w:rFonts w:ascii="Arial" w:eastAsia="Calibri" w:hAnsi="Arial" w:cs="Arial"/>
        </w:rPr>
        <w:t xml:space="preserve"> regresu jejich kapacit. Udržení alespoň nynější kvali</w:t>
      </w:r>
      <w:r w:rsidR="003A6DE0">
        <w:rPr>
          <w:rFonts w:ascii="Arial" w:eastAsia="Calibri" w:hAnsi="Arial" w:cs="Arial"/>
        </w:rPr>
        <w:t>tativní úrovně</w:t>
      </w:r>
      <w:r w:rsidRPr="0086508C">
        <w:rPr>
          <w:rFonts w:ascii="Arial" w:eastAsia="Calibri" w:hAnsi="Arial" w:cs="Arial"/>
        </w:rPr>
        <w:t xml:space="preserve"> velkých výzkumných infrastruktur je tedy zcela nemyslitelné bez posílení rozpočtového rámce jejich financování.</w:t>
      </w:r>
    </w:p>
    <w:p w14:paraId="6A4FAA49" w14:textId="02896729" w:rsidR="00362212" w:rsidRDefault="00362212" w:rsidP="0086508C">
      <w:pPr>
        <w:spacing w:after="0" w:line="240" w:lineRule="auto"/>
        <w:jc w:val="both"/>
        <w:rPr>
          <w:rFonts w:ascii="Arial" w:eastAsia="Calibri" w:hAnsi="Arial" w:cs="Arial"/>
        </w:rPr>
      </w:pPr>
    </w:p>
    <w:p w14:paraId="6C472EB0" w14:textId="67AB2F20" w:rsidR="00362212" w:rsidRPr="00A75691" w:rsidRDefault="00362212" w:rsidP="0086508C">
      <w:pPr>
        <w:spacing w:after="0" w:line="240" w:lineRule="auto"/>
        <w:jc w:val="both"/>
        <w:rPr>
          <w:rFonts w:ascii="Arial" w:eastAsia="Calibri" w:hAnsi="Arial" w:cs="Arial"/>
        </w:rPr>
      </w:pPr>
      <w:r w:rsidRPr="00362212">
        <w:rPr>
          <w:rFonts w:ascii="Arial" w:eastAsia="Calibri" w:hAnsi="Arial" w:cs="Arial"/>
        </w:rPr>
        <w:t xml:space="preserve">MŠMT v tomto kontextu uvádí, že na počátku roku 2022 muselo v důsledku energetické krize navýšit účelovou podporu velké výzkumné infrastruktury e-INFRA CZ o 38,9 mil. Kč, jinak by musel být </w:t>
      </w:r>
      <w:r w:rsidR="003A6DE0">
        <w:rPr>
          <w:rFonts w:ascii="Arial" w:eastAsia="Calibri" w:hAnsi="Arial" w:cs="Arial"/>
        </w:rPr>
        <w:t>ukončen</w:t>
      </w:r>
      <w:r w:rsidRPr="00362212">
        <w:rPr>
          <w:rFonts w:ascii="Arial" w:eastAsia="Calibri" w:hAnsi="Arial" w:cs="Arial"/>
        </w:rPr>
        <w:t xml:space="preserve"> provoz 2 z celkem 3 superpočítačů operovaných IT4Innovations Národním superpočítačovým centrem. </w:t>
      </w:r>
      <w:r w:rsidR="003A6DE0">
        <w:rPr>
          <w:rFonts w:ascii="Arial" w:eastAsia="Calibri" w:hAnsi="Arial" w:cs="Arial"/>
        </w:rPr>
        <w:t>Dané pouze</w:t>
      </w:r>
      <w:r w:rsidRPr="00362212">
        <w:rPr>
          <w:rFonts w:ascii="Arial" w:eastAsia="Calibri" w:hAnsi="Arial" w:cs="Arial"/>
        </w:rPr>
        <w:t xml:space="preserve"> ilustruje </w:t>
      </w:r>
      <w:r>
        <w:rPr>
          <w:rFonts w:ascii="Arial" w:eastAsia="Calibri" w:hAnsi="Arial" w:cs="Arial"/>
        </w:rPr>
        <w:t>výše uvedené.</w:t>
      </w:r>
    </w:p>
    <w:p w14:paraId="2E1F3ABE" w14:textId="47EBAEC9" w:rsidR="00CD6113" w:rsidRDefault="00CD6113" w:rsidP="00CD6113">
      <w:pPr>
        <w:spacing w:after="0" w:line="240" w:lineRule="auto"/>
        <w:jc w:val="both"/>
        <w:rPr>
          <w:rFonts w:ascii="Arial" w:eastAsia="Calibri" w:hAnsi="Arial" w:cs="Arial"/>
        </w:rPr>
      </w:pPr>
    </w:p>
    <w:p w14:paraId="09B0445A" w14:textId="305669FF" w:rsidR="0034057D" w:rsidRDefault="0034057D" w:rsidP="0034057D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Financování investičních nákladů</w:t>
      </w:r>
    </w:p>
    <w:p w14:paraId="05A4BB7B" w14:textId="77777777" w:rsidR="0034057D" w:rsidRDefault="0034057D" w:rsidP="0034057D">
      <w:pPr>
        <w:spacing w:after="0" w:line="240" w:lineRule="auto"/>
        <w:jc w:val="both"/>
        <w:rPr>
          <w:rFonts w:ascii="Arial" w:eastAsia="Calibri" w:hAnsi="Arial" w:cs="Arial"/>
        </w:rPr>
      </w:pPr>
    </w:p>
    <w:p w14:paraId="0A283560" w14:textId="77777777" w:rsidR="0054042E" w:rsidRDefault="0054042E" w:rsidP="0054042E">
      <w:pPr>
        <w:spacing w:after="0" w:line="240" w:lineRule="auto"/>
        <w:jc w:val="both"/>
        <w:rPr>
          <w:rFonts w:ascii="Arial" w:eastAsia="Calibri" w:hAnsi="Arial" w:cs="Arial"/>
        </w:rPr>
      </w:pPr>
      <w:bookmarkStart w:id="1" w:name="_Hlk113264767"/>
      <w:r w:rsidRPr="0034057D">
        <w:rPr>
          <w:rFonts w:ascii="Arial" w:eastAsia="Calibri" w:hAnsi="Arial" w:cs="Arial"/>
        </w:rPr>
        <w:t xml:space="preserve">Investiční náklady velkých výzkumných infrastruktur budou </w:t>
      </w:r>
      <w:r>
        <w:rPr>
          <w:rFonts w:ascii="Arial" w:eastAsia="Calibri" w:hAnsi="Arial" w:cs="Arial"/>
        </w:rPr>
        <w:t>obdobně jako v uplynulém období financovány</w:t>
      </w:r>
      <w:r w:rsidRPr="0034057D">
        <w:rPr>
          <w:rFonts w:ascii="Arial" w:eastAsia="Calibri" w:hAnsi="Arial" w:cs="Arial"/>
        </w:rPr>
        <w:t xml:space="preserve"> za </w:t>
      </w:r>
      <w:r>
        <w:rPr>
          <w:rFonts w:ascii="Arial" w:eastAsia="Calibri" w:hAnsi="Arial" w:cs="Arial"/>
        </w:rPr>
        <w:t>vy</w:t>
      </w:r>
      <w:r w:rsidRPr="0034057D">
        <w:rPr>
          <w:rFonts w:ascii="Arial" w:eastAsia="Calibri" w:hAnsi="Arial" w:cs="Arial"/>
        </w:rPr>
        <w:t>užití nástrojů politiky soudržnosti EU</w:t>
      </w:r>
      <w:r>
        <w:rPr>
          <w:rFonts w:ascii="Arial" w:eastAsia="Calibri" w:hAnsi="Arial" w:cs="Arial"/>
        </w:rPr>
        <w:t>, tentokrát</w:t>
      </w:r>
      <w:r w:rsidRPr="0034057D">
        <w:rPr>
          <w:rFonts w:ascii="Arial" w:eastAsia="Calibri" w:hAnsi="Arial" w:cs="Arial"/>
        </w:rPr>
        <w:t xml:space="preserve"> prostřednictvím </w:t>
      </w:r>
      <w:r w:rsidRPr="0034057D">
        <w:rPr>
          <w:rFonts w:ascii="Arial" w:eastAsia="Calibri" w:hAnsi="Arial" w:cs="Arial"/>
          <w:b/>
          <w:bCs/>
        </w:rPr>
        <w:t xml:space="preserve">Operačního programu Jan Amos Komenský </w:t>
      </w:r>
      <w:r w:rsidRPr="006922C2">
        <w:rPr>
          <w:rFonts w:ascii="Arial" w:eastAsia="Calibri" w:hAnsi="Arial" w:cs="Arial"/>
        </w:rPr>
        <w:t>(dále jen „OP JAK“)</w:t>
      </w:r>
      <w:r w:rsidRPr="0034057D">
        <w:rPr>
          <w:rFonts w:ascii="Arial" w:eastAsia="Calibri" w:hAnsi="Arial" w:cs="Arial"/>
        </w:rPr>
        <w:t>,</w:t>
      </w:r>
      <w:r>
        <w:rPr>
          <w:rFonts w:ascii="Arial" w:eastAsia="Calibri" w:hAnsi="Arial" w:cs="Arial"/>
        </w:rPr>
        <w:t xml:space="preserve"> </w:t>
      </w:r>
      <w:r w:rsidRPr="0034057D">
        <w:rPr>
          <w:rFonts w:ascii="Arial" w:eastAsia="Calibri" w:hAnsi="Arial" w:cs="Arial"/>
        </w:rPr>
        <w:t xml:space="preserve">a to v rámci specificky dedikovaných výzev </w:t>
      </w:r>
      <w:r>
        <w:rPr>
          <w:rFonts w:ascii="Arial" w:eastAsia="Calibri" w:hAnsi="Arial" w:cs="Arial"/>
        </w:rPr>
        <w:t>k</w:t>
      </w:r>
      <w:r w:rsidRPr="0034057D">
        <w:rPr>
          <w:rFonts w:ascii="Arial" w:eastAsia="Calibri" w:hAnsi="Arial" w:cs="Arial"/>
        </w:rPr>
        <w:t xml:space="preserve"> podpo</w:t>
      </w:r>
      <w:r>
        <w:rPr>
          <w:rFonts w:ascii="Arial" w:eastAsia="Calibri" w:hAnsi="Arial" w:cs="Arial"/>
        </w:rPr>
        <w:t>ře</w:t>
      </w:r>
      <w:r w:rsidRPr="0034057D">
        <w:rPr>
          <w:rFonts w:ascii="Arial" w:eastAsia="Calibri" w:hAnsi="Arial" w:cs="Arial"/>
        </w:rPr>
        <w:t xml:space="preserve"> investičního rozvoje velkých výzkumných infrastruktur.</w:t>
      </w:r>
    </w:p>
    <w:bookmarkEnd w:id="1"/>
    <w:p w14:paraId="43945554" w14:textId="77777777" w:rsidR="0054042E" w:rsidRDefault="0054042E" w:rsidP="0054042E">
      <w:pPr>
        <w:spacing w:after="0" w:line="240" w:lineRule="auto"/>
        <w:jc w:val="both"/>
        <w:rPr>
          <w:rFonts w:ascii="Arial" w:eastAsia="Calibri" w:hAnsi="Arial" w:cs="Arial"/>
        </w:rPr>
      </w:pPr>
    </w:p>
    <w:p w14:paraId="72477833" w14:textId="0A33A12D" w:rsidR="0034057D" w:rsidRDefault="0054042E" w:rsidP="0054042E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Z</w:t>
      </w:r>
      <w:r w:rsidRPr="003458CB">
        <w:rPr>
          <w:rFonts w:ascii="Arial" w:eastAsia="Calibri" w:hAnsi="Arial" w:cs="Arial"/>
          <w:b/>
          <w:bCs/>
        </w:rPr>
        <w:t>působil</w:t>
      </w:r>
      <w:r>
        <w:rPr>
          <w:rFonts w:ascii="Arial" w:eastAsia="Calibri" w:hAnsi="Arial" w:cs="Arial"/>
          <w:b/>
          <w:bCs/>
        </w:rPr>
        <w:t>ými</w:t>
      </w:r>
      <w:r w:rsidRPr="003458CB"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eastAsia="Calibri" w:hAnsi="Arial" w:cs="Arial"/>
          <w:b/>
          <w:bCs/>
        </w:rPr>
        <w:t>pro</w:t>
      </w:r>
      <w:r w:rsidRPr="003458CB">
        <w:rPr>
          <w:rFonts w:ascii="Arial" w:eastAsia="Calibri" w:hAnsi="Arial" w:cs="Arial"/>
          <w:b/>
          <w:bCs/>
        </w:rPr>
        <w:t> zapojení do specificky dedikovan</w:t>
      </w:r>
      <w:r>
        <w:rPr>
          <w:rFonts w:ascii="Arial" w:eastAsia="Calibri" w:hAnsi="Arial" w:cs="Arial"/>
          <w:b/>
          <w:bCs/>
        </w:rPr>
        <w:t>ých</w:t>
      </w:r>
      <w:r w:rsidRPr="003458CB">
        <w:rPr>
          <w:rFonts w:ascii="Arial" w:eastAsia="Calibri" w:hAnsi="Arial" w:cs="Arial"/>
          <w:b/>
          <w:bCs/>
        </w:rPr>
        <w:t xml:space="preserve"> výz</w:t>
      </w:r>
      <w:r>
        <w:rPr>
          <w:rFonts w:ascii="Arial" w:eastAsia="Calibri" w:hAnsi="Arial" w:cs="Arial"/>
          <w:b/>
          <w:bCs/>
        </w:rPr>
        <w:t>e</w:t>
      </w:r>
      <w:r w:rsidRPr="003458CB">
        <w:rPr>
          <w:rFonts w:ascii="Arial" w:eastAsia="Calibri" w:hAnsi="Arial" w:cs="Arial"/>
          <w:b/>
          <w:bCs/>
        </w:rPr>
        <w:t>v OP JAK</w:t>
      </w:r>
      <w:r>
        <w:rPr>
          <w:rFonts w:ascii="Arial" w:eastAsia="Calibri" w:hAnsi="Arial" w:cs="Arial"/>
        </w:rPr>
        <w:t xml:space="preserve"> (v první vlně těchto výzev určených pro financování investičních nákladů v období let 2023–2026) budou výlučně velké výzkumné infrastruktury, jež budou schváleny vládou ČR k poskytování účelové podpory MŠMT v letech 2023–2026, a současně ty, jež budou přispívat k doménám specializace podle aktuálně platné Národní výzkumné a inovační strategie pro inteligentní specializaci ČR (RIS3), což je základní podmínka pro financování projektů v oblasti </w:t>
      </w:r>
      <w:r w:rsidR="005C1552">
        <w:rPr>
          <w:rFonts w:ascii="Arial" w:eastAsia="Calibri" w:hAnsi="Arial" w:cs="Arial"/>
        </w:rPr>
        <w:t>VaVaI</w:t>
      </w:r>
      <w:r>
        <w:rPr>
          <w:rFonts w:ascii="Arial" w:eastAsia="Calibri" w:hAnsi="Arial" w:cs="Arial"/>
        </w:rPr>
        <w:t xml:space="preserve"> z OP JAK.</w:t>
      </w:r>
    </w:p>
    <w:p w14:paraId="6E0956FA" w14:textId="77777777" w:rsidR="007B6BAD" w:rsidRDefault="007B6BAD" w:rsidP="0054042E">
      <w:pPr>
        <w:spacing w:after="0" w:line="240" w:lineRule="auto"/>
        <w:jc w:val="both"/>
        <w:rPr>
          <w:rFonts w:ascii="Arial" w:eastAsia="Calibri" w:hAnsi="Arial" w:cs="Arial"/>
        </w:rPr>
      </w:pPr>
    </w:p>
    <w:p w14:paraId="48F1F665" w14:textId="70276770" w:rsidR="00C80247" w:rsidRPr="00EB7026" w:rsidRDefault="00C80247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Problematika veřejné podpory</w:t>
      </w:r>
    </w:p>
    <w:p w14:paraId="05864F4C" w14:textId="77777777" w:rsidR="00C80247" w:rsidRDefault="00C80247" w:rsidP="00C80247">
      <w:pPr>
        <w:spacing w:after="0" w:line="240" w:lineRule="auto"/>
        <w:jc w:val="both"/>
        <w:rPr>
          <w:rFonts w:ascii="Arial" w:eastAsia="Calibri" w:hAnsi="Arial" w:cs="Arial"/>
        </w:rPr>
      </w:pPr>
    </w:p>
    <w:p w14:paraId="0E19C90B" w14:textId="5B428E01" w:rsidR="006F5C00" w:rsidRDefault="007758DF" w:rsidP="007758DF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Hostitelskými a partnerskými institucemi velkých výzkumných infrastruktur, tj. institucemi, které se budou podílet na provozování velkých výzkumných infrastruktur v rolích příjemců podpory a dalších účastníků věcně příslušných projektů podpory, jsou u všech navrhovaných velkých výzkumných infrastruktur </w:t>
      </w:r>
      <w:r>
        <w:rPr>
          <w:rFonts w:ascii="Arial" w:eastAsia="Calibri" w:hAnsi="Arial" w:cs="Arial"/>
          <w:b/>
        </w:rPr>
        <w:t>organizace pro výzkum a šíření znalostí</w:t>
      </w:r>
      <w:r>
        <w:rPr>
          <w:rFonts w:ascii="Arial" w:eastAsia="Calibri" w:hAnsi="Arial" w:cs="Arial"/>
        </w:rPr>
        <w:t xml:space="preserve"> tak, jak jsou definovány Rámcem pro státní podporu </w:t>
      </w:r>
      <w:r w:rsidR="006F5C00">
        <w:rPr>
          <w:rFonts w:ascii="Arial" w:eastAsia="Calibri" w:hAnsi="Arial" w:cs="Arial"/>
        </w:rPr>
        <w:t>VaVaI</w:t>
      </w:r>
      <w:r>
        <w:rPr>
          <w:rFonts w:ascii="Arial" w:eastAsia="Calibri" w:hAnsi="Arial" w:cs="Arial"/>
        </w:rPr>
        <w:t xml:space="preserve"> (</w:t>
      </w:r>
      <w:r w:rsidR="00326F62" w:rsidRPr="00326F62">
        <w:rPr>
          <w:rFonts w:ascii="Arial" w:eastAsia="Calibri" w:hAnsi="Arial" w:cs="Arial"/>
        </w:rPr>
        <w:t>2022/C 414/01</w:t>
      </w:r>
      <w:r>
        <w:rPr>
          <w:rFonts w:ascii="Arial" w:eastAsia="Calibri" w:hAnsi="Arial" w:cs="Arial"/>
        </w:rPr>
        <w:t>).</w:t>
      </w:r>
    </w:p>
    <w:p w14:paraId="18D53BAF" w14:textId="234EA497" w:rsidR="00FB101A" w:rsidRDefault="00FB101A" w:rsidP="007758DF">
      <w:pPr>
        <w:spacing w:after="0" w:line="240" w:lineRule="auto"/>
        <w:jc w:val="both"/>
        <w:rPr>
          <w:rFonts w:ascii="Arial" w:eastAsia="Calibri" w:hAnsi="Arial" w:cs="Arial"/>
        </w:rPr>
      </w:pPr>
    </w:p>
    <w:p w14:paraId="3D0BCFFE" w14:textId="5D084AB5" w:rsidR="00722702" w:rsidRDefault="00722702" w:rsidP="00722702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Podpora velkých výzkumných infrastruktur ze zdrojů účelové podpory MŠMT v rámci výdajů státního rozpočtu ČR na VaVaI nebude zakládat veřejnou podporu ve smyslu čl. 107 odst. 1 Smlouvy o fungování EU. Účelová podpora MŠMT bude poskytována organizacím pro výzkum a šíření znalostí a prostředky budou směřovány na </w:t>
      </w:r>
      <w:r>
        <w:rPr>
          <w:rFonts w:ascii="Arial" w:eastAsia="Calibri" w:hAnsi="Arial" w:cs="Arial"/>
          <w:b/>
        </w:rPr>
        <w:t xml:space="preserve">financování </w:t>
      </w:r>
      <w:proofErr w:type="spellStart"/>
      <w:r>
        <w:rPr>
          <w:rFonts w:ascii="Arial" w:eastAsia="Calibri" w:hAnsi="Arial" w:cs="Arial"/>
          <w:b/>
        </w:rPr>
        <w:t>nehospodářských</w:t>
      </w:r>
      <w:proofErr w:type="spellEnd"/>
      <w:r>
        <w:rPr>
          <w:rFonts w:ascii="Arial" w:eastAsia="Calibri" w:hAnsi="Arial" w:cs="Arial"/>
          <w:b/>
        </w:rPr>
        <w:t xml:space="preserve"> činností</w:t>
      </w:r>
      <w:r>
        <w:rPr>
          <w:rFonts w:ascii="Arial" w:eastAsia="Calibri" w:hAnsi="Arial" w:cs="Arial"/>
        </w:rPr>
        <w:t xml:space="preserve"> vykonávaných podle odst. 19 Rámce pro státní podporu VaVaI (</w:t>
      </w:r>
      <w:r w:rsidR="00326F62" w:rsidRPr="00326F62">
        <w:rPr>
          <w:rFonts w:ascii="Arial" w:eastAsia="Calibri" w:hAnsi="Arial" w:cs="Arial"/>
        </w:rPr>
        <w:t>2022/C 414/01</w:t>
      </w:r>
      <w:r>
        <w:rPr>
          <w:rFonts w:ascii="Arial" w:eastAsia="Calibri" w:hAnsi="Arial" w:cs="Arial"/>
        </w:rPr>
        <w:t xml:space="preserve">). </w:t>
      </w:r>
    </w:p>
    <w:p w14:paraId="09371EC4" w14:textId="77777777" w:rsidR="00722702" w:rsidRDefault="00722702" w:rsidP="00722702">
      <w:pPr>
        <w:spacing w:after="0" w:line="240" w:lineRule="auto"/>
        <w:jc w:val="both"/>
        <w:rPr>
          <w:rFonts w:ascii="Arial" w:eastAsia="Calibri" w:hAnsi="Arial" w:cs="Arial"/>
        </w:rPr>
      </w:pPr>
    </w:p>
    <w:p w14:paraId="270E6C66" w14:textId="5CA2E369" w:rsidR="007758DF" w:rsidRDefault="00722702" w:rsidP="00722702">
      <w:pPr>
        <w:spacing w:after="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>Pokud budou příjemci podpory a další účastníci věcně příslušných projektů podpory vykonávat hospodářské činnosti, budou</w:t>
      </w:r>
      <w:r w:rsidR="00455DE0">
        <w:rPr>
          <w:rFonts w:ascii="Arial" w:eastAsia="Calibri" w:hAnsi="Arial" w:cs="Arial"/>
        </w:rPr>
        <w:t xml:space="preserve"> to</w:t>
      </w:r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b/>
        </w:rPr>
        <w:t>hospodářské činnosti výlučně vedlejší povahy</w:t>
      </w:r>
      <w:r>
        <w:rPr>
          <w:rFonts w:ascii="Arial" w:eastAsia="Calibri" w:hAnsi="Arial" w:cs="Arial"/>
        </w:rPr>
        <w:t xml:space="preserve"> a vykazovat doplňkový charakter k hlavním </w:t>
      </w:r>
      <w:proofErr w:type="spellStart"/>
      <w:r>
        <w:rPr>
          <w:rFonts w:ascii="Arial" w:eastAsia="Calibri" w:hAnsi="Arial" w:cs="Arial"/>
        </w:rPr>
        <w:t>nehospodářským</w:t>
      </w:r>
      <w:proofErr w:type="spellEnd"/>
      <w:r>
        <w:rPr>
          <w:rFonts w:ascii="Arial" w:eastAsia="Calibri" w:hAnsi="Arial" w:cs="Arial"/>
        </w:rPr>
        <w:t xml:space="preserve"> činnostem rozvíjeným na základě odst. 20 Rámce pro státní podporu VaVaI (</w:t>
      </w:r>
      <w:r w:rsidR="00326F62" w:rsidRPr="00326F62">
        <w:rPr>
          <w:rFonts w:ascii="Arial" w:eastAsia="Calibri" w:hAnsi="Arial" w:cs="Arial"/>
        </w:rPr>
        <w:t>2022/C 414/01</w:t>
      </w:r>
      <w:r>
        <w:rPr>
          <w:rFonts w:ascii="Arial" w:eastAsia="Calibri" w:hAnsi="Arial" w:cs="Arial"/>
        </w:rPr>
        <w:t>).</w:t>
      </w:r>
    </w:p>
    <w:p w14:paraId="6F614989" w14:textId="77777777" w:rsidR="007758DF" w:rsidRDefault="007758DF" w:rsidP="007758DF">
      <w:pPr>
        <w:spacing w:after="0" w:line="240" w:lineRule="auto"/>
        <w:jc w:val="both"/>
        <w:rPr>
          <w:rFonts w:ascii="Arial" w:eastAsia="Calibri" w:hAnsi="Arial" w:cs="Arial"/>
        </w:rPr>
      </w:pPr>
    </w:p>
    <w:p w14:paraId="6C048238" w14:textId="70728DBF" w:rsidR="006F5C00" w:rsidRDefault="007758DF" w:rsidP="007758DF">
      <w:pPr>
        <w:spacing w:after="0" w:line="240" w:lineRule="auto"/>
        <w:jc w:val="both"/>
        <w:rPr>
          <w:rFonts w:ascii="Arial" w:eastAsia="Calibri" w:hAnsi="Arial" w:cs="Arial"/>
        </w:rPr>
      </w:pPr>
      <w:r w:rsidRPr="00721597">
        <w:rPr>
          <w:rFonts w:ascii="Arial" w:eastAsia="Calibri" w:hAnsi="Arial" w:cs="Arial"/>
          <w:bCs/>
        </w:rPr>
        <w:t xml:space="preserve">Komunikace </w:t>
      </w:r>
      <w:r w:rsidR="00721597">
        <w:rPr>
          <w:rFonts w:ascii="Arial" w:eastAsia="Calibri" w:hAnsi="Arial" w:cs="Arial"/>
          <w:bCs/>
        </w:rPr>
        <w:t>s</w:t>
      </w:r>
      <w:r w:rsidRPr="00721597">
        <w:rPr>
          <w:rFonts w:ascii="Arial" w:eastAsia="Calibri" w:hAnsi="Arial" w:cs="Arial"/>
          <w:bCs/>
        </w:rPr>
        <w:t> Úřadem pro ochranu hospodářské soutěže (dále jen „ÚOHS“)</w:t>
      </w:r>
      <w:r w:rsidR="00721597">
        <w:rPr>
          <w:rFonts w:ascii="Arial" w:eastAsia="Calibri" w:hAnsi="Arial" w:cs="Arial"/>
          <w:bCs/>
        </w:rPr>
        <w:t xml:space="preserve"> a </w:t>
      </w:r>
      <w:r w:rsidRPr="00721597">
        <w:rPr>
          <w:rFonts w:ascii="Arial" w:eastAsia="Calibri" w:hAnsi="Arial" w:cs="Arial"/>
          <w:bCs/>
        </w:rPr>
        <w:t>s Generálním ředitelstvím pro hospodářskou soutěž Evropské komise</w:t>
      </w:r>
      <w:r w:rsidRPr="00C34F01">
        <w:rPr>
          <w:rFonts w:ascii="Arial" w:eastAsia="Calibri" w:hAnsi="Arial" w:cs="Arial"/>
        </w:rPr>
        <w:t xml:space="preserve"> (</w:t>
      </w:r>
      <w:r w:rsidR="00721597">
        <w:rPr>
          <w:rFonts w:ascii="Arial" w:eastAsia="Calibri" w:hAnsi="Arial" w:cs="Arial"/>
        </w:rPr>
        <w:t>dále jen „</w:t>
      </w:r>
      <w:r w:rsidRPr="00C34F01">
        <w:rPr>
          <w:rFonts w:ascii="Arial" w:eastAsia="Calibri" w:hAnsi="Arial" w:cs="Arial"/>
        </w:rPr>
        <w:t>DG COMPET</w:t>
      </w:r>
      <w:r w:rsidR="00721597">
        <w:rPr>
          <w:rFonts w:ascii="Arial" w:eastAsia="Calibri" w:hAnsi="Arial" w:cs="Arial"/>
        </w:rPr>
        <w:t>“</w:t>
      </w:r>
      <w:r w:rsidRPr="00C34F01">
        <w:rPr>
          <w:rFonts w:ascii="Arial" w:eastAsia="Calibri" w:hAnsi="Arial" w:cs="Arial"/>
        </w:rPr>
        <w:t>) v</w:t>
      </w:r>
      <w:r w:rsidR="00721597">
        <w:rPr>
          <w:rFonts w:ascii="Arial" w:eastAsia="Calibri" w:hAnsi="Arial" w:cs="Arial"/>
        </w:rPr>
        <w:t xml:space="preserve"> záležitosti</w:t>
      </w:r>
      <w:r w:rsidRPr="00C34F01">
        <w:rPr>
          <w:rFonts w:ascii="Arial" w:eastAsia="Calibri" w:hAnsi="Arial" w:cs="Arial"/>
        </w:rPr>
        <w:t xml:space="preserve"> </w:t>
      </w:r>
      <w:r w:rsidRPr="00721597">
        <w:rPr>
          <w:rFonts w:ascii="Arial" w:eastAsia="Calibri" w:hAnsi="Arial" w:cs="Arial"/>
          <w:b/>
          <w:bCs/>
        </w:rPr>
        <w:t>posouzení podpory velkých výzkumných infrastruktur z</w:t>
      </w:r>
      <w:r w:rsidR="00721597">
        <w:rPr>
          <w:rFonts w:ascii="Arial" w:eastAsia="Calibri" w:hAnsi="Arial" w:cs="Arial"/>
          <w:b/>
          <w:bCs/>
        </w:rPr>
        <w:t xml:space="preserve"> prostředků</w:t>
      </w:r>
      <w:r w:rsidRPr="00721597">
        <w:rPr>
          <w:rFonts w:ascii="Arial" w:eastAsia="Calibri" w:hAnsi="Arial" w:cs="Arial"/>
          <w:b/>
          <w:bCs/>
        </w:rPr>
        <w:t xml:space="preserve"> účelové podpory MŠMT z pohledu její </w:t>
      </w:r>
      <w:r w:rsidR="005D4B38" w:rsidRPr="00721597">
        <w:rPr>
          <w:rFonts w:ascii="Arial" w:eastAsia="Calibri" w:hAnsi="Arial" w:cs="Arial"/>
          <w:b/>
          <w:bCs/>
        </w:rPr>
        <w:t>slučitelnosti</w:t>
      </w:r>
      <w:r w:rsidRPr="00721597">
        <w:rPr>
          <w:rFonts w:ascii="Arial" w:eastAsia="Calibri" w:hAnsi="Arial" w:cs="Arial"/>
          <w:b/>
          <w:bCs/>
        </w:rPr>
        <w:t xml:space="preserve"> s vnitřním trhem EU</w:t>
      </w:r>
      <w:r>
        <w:rPr>
          <w:rFonts w:ascii="Arial" w:eastAsia="Calibri" w:hAnsi="Arial" w:cs="Arial"/>
        </w:rPr>
        <w:t xml:space="preserve"> </w:t>
      </w:r>
      <w:r w:rsidRPr="00C34F01">
        <w:rPr>
          <w:rFonts w:ascii="Arial" w:eastAsia="Calibri" w:hAnsi="Arial" w:cs="Arial"/>
        </w:rPr>
        <w:t>proběhla již v období let 2010</w:t>
      </w:r>
      <w:r w:rsidR="00721597">
        <w:rPr>
          <w:rFonts w:ascii="Arial" w:eastAsia="Calibri" w:hAnsi="Arial" w:cs="Arial"/>
        </w:rPr>
        <w:t>–</w:t>
      </w:r>
      <w:r w:rsidRPr="00C34F01">
        <w:rPr>
          <w:rFonts w:ascii="Arial" w:eastAsia="Calibri" w:hAnsi="Arial" w:cs="Arial"/>
        </w:rPr>
        <w:t xml:space="preserve">2012. Vybrané projekty velkých výzkumných infrastruktur byly tehdy tzv. </w:t>
      </w:r>
      <w:proofErr w:type="spellStart"/>
      <w:r w:rsidRPr="00C34F01">
        <w:rPr>
          <w:rFonts w:ascii="Arial" w:eastAsia="Calibri" w:hAnsi="Arial" w:cs="Arial"/>
        </w:rPr>
        <w:t>pre</w:t>
      </w:r>
      <w:proofErr w:type="spellEnd"/>
      <w:r w:rsidRPr="00C34F01">
        <w:rPr>
          <w:rFonts w:ascii="Arial" w:eastAsia="Calibri" w:hAnsi="Arial" w:cs="Arial"/>
        </w:rPr>
        <w:t>-notifikovány Evropskou komisí</w:t>
      </w:r>
      <w:r>
        <w:rPr>
          <w:rFonts w:ascii="Arial" w:eastAsia="Calibri" w:hAnsi="Arial" w:cs="Arial"/>
        </w:rPr>
        <w:t xml:space="preserve"> </w:t>
      </w:r>
      <w:r w:rsidRPr="00C34F01">
        <w:rPr>
          <w:rFonts w:ascii="Arial" w:eastAsia="Calibri" w:hAnsi="Arial" w:cs="Arial"/>
        </w:rPr>
        <w:t>z důvodu právní jisto</w:t>
      </w:r>
      <w:r>
        <w:rPr>
          <w:rFonts w:ascii="Arial" w:eastAsia="Calibri" w:hAnsi="Arial" w:cs="Arial"/>
        </w:rPr>
        <w:t xml:space="preserve">ty. Výsledkem jednání bylo </w:t>
      </w:r>
      <w:r w:rsidR="006F5C00">
        <w:rPr>
          <w:rFonts w:ascii="Arial" w:eastAsia="Calibri" w:hAnsi="Arial" w:cs="Arial"/>
        </w:rPr>
        <w:t>však</w:t>
      </w:r>
      <w:r w:rsidRPr="00C34F01">
        <w:rPr>
          <w:rFonts w:ascii="Arial" w:eastAsia="Calibri" w:hAnsi="Arial" w:cs="Arial"/>
        </w:rPr>
        <w:t xml:space="preserve"> sdělení, že popsané financování není </w:t>
      </w:r>
      <w:r>
        <w:rPr>
          <w:rFonts w:ascii="Arial" w:eastAsia="Calibri" w:hAnsi="Arial" w:cs="Arial"/>
        </w:rPr>
        <w:t xml:space="preserve">veřejnou podporou a je tedy </w:t>
      </w:r>
      <w:r w:rsidRPr="00C34F01">
        <w:rPr>
          <w:rFonts w:ascii="Arial" w:eastAsia="Calibri" w:hAnsi="Arial" w:cs="Arial"/>
        </w:rPr>
        <w:t>plně v souladu s</w:t>
      </w:r>
      <w:r>
        <w:rPr>
          <w:rFonts w:ascii="Arial" w:eastAsia="Calibri" w:hAnsi="Arial" w:cs="Arial"/>
        </w:rPr>
        <w:t xml:space="preserve"> právními </w:t>
      </w:r>
      <w:r w:rsidRPr="00C34F01">
        <w:rPr>
          <w:rFonts w:ascii="Arial" w:eastAsia="Calibri" w:hAnsi="Arial" w:cs="Arial"/>
        </w:rPr>
        <w:t xml:space="preserve">předpisy EU. </w:t>
      </w:r>
    </w:p>
    <w:p w14:paraId="3BDF4519" w14:textId="77777777" w:rsidR="006F5C00" w:rsidRDefault="006F5C00" w:rsidP="007758DF">
      <w:pPr>
        <w:spacing w:after="0" w:line="240" w:lineRule="auto"/>
        <w:jc w:val="both"/>
        <w:rPr>
          <w:rFonts w:ascii="Arial" w:eastAsia="Calibri" w:hAnsi="Arial" w:cs="Arial"/>
        </w:rPr>
      </w:pPr>
    </w:p>
    <w:p w14:paraId="024F0DBA" w14:textId="4AD73B26" w:rsidR="007758DF" w:rsidRDefault="007758DF" w:rsidP="007758DF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C34F01">
        <w:rPr>
          <w:rFonts w:ascii="Arial" w:eastAsia="Calibri" w:hAnsi="Arial" w:cs="Arial"/>
        </w:rPr>
        <w:t xml:space="preserve">Vzhledem ke změně legislativního rámce EU v roce 2014, kdy byl přijat nový Rámec pro státní podporu </w:t>
      </w:r>
      <w:r w:rsidR="00C657BA">
        <w:rPr>
          <w:rFonts w:ascii="Arial" w:eastAsia="Calibri" w:hAnsi="Arial" w:cs="Arial"/>
        </w:rPr>
        <w:t>VaVaI</w:t>
      </w:r>
      <w:r w:rsidRPr="00C34F01">
        <w:rPr>
          <w:rFonts w:ascii="Arial" w:eastAsia="Calibri" w:hAnsi="Arial" w:cs="Arial"/>
        </w:rPr>
        <w:t xml:space="preserve"> (2014/C 198/01), byl </w:t>
      </w:r>
      <w:r w:rsidR="00C657BA">
        <w:rPr>
          <w:rFonts w:ascii="Arial" w:eastAsia="Calibri" w:hAnsi="Arial" w:cs="Arial"/>
        </w:rPr>
        <w:t xml:space="preserve">pak </w:t>
      </w:r>
      <w:r w:rsidRPr="00C34F01">
        <w:rPr>
          <w:rFonts w:ascii="Arial" w:eastAsia="Calibri" w:hAnsi="Arial" w:cs="Arial"/>
        </w:rPr>
        <w:t xml:space="preserve">způsob </w:t>
      </w:r>
      <w:r w:rsidR="00C657BA">
        <w:rPr>
          <w:rFonts w:ascii="Arial" w:eastAsia="Calibri" w:hAnsi="Arial" w:cs="Arial"/>
        </w:rPr>
        <w:t>financování</w:t>
      </w:r>
      <w:r w:rsidRPr="00C34F01">
        <w:rPr>
          <w:rFonts w:ascii="Arial" w:eastAsia="Calibri" w:hAnsi="Arial" w:cs="Arial"/>
        </w:rPr>
        <w:t xml:space="preserve"> velkých výzkumných infrastruktur z veřejných prostředků ČR opětovně předložen k </w:t>
      </w:r>
      <w:r w:rsidRPr="00293922">
        <w:rPr>
          <w:rFonts w:ascii="Arial" w:eastAsia="Calibri" w:hAnsi="Arial" w:cs="Arial"/>
          <w:b/>
          <w:bCs/>
        </w:rPr>
        <w:t>posouzení ÚOHS</w:t>
      </w:r>
      <w:r w:rsidRPr="00C34F01">
        <w:rPr>
          <w:rFonts w:ascii="Arial" w:eastAsia="Calibri" w:hAnsi="Arial" w:cs="Arial"/>
        </w:rPr>
        <w:t>, resp. ÚOHS požádán o</w:t>
      </w:r>
      <w:r w:rsidR="00C657BA">
        <w:rPr>
          <w:rFonts w:ascii="Arial" w:eastAsia="Calibri" w:hAnsi="Arial" w:cs="Arial"/>
        </w:rPr>
        <w:t> </w:t>
      </w:r>
      <w:r w:rsidRPr="00C34F01">
        <w:rPr>
          <w:rFonts w:ascii="Arial" w:eastAsia="Calibri" w:hAnsi="Arial" w:cs="Arial"/>
        </w:rPr>
        <w:t xml:space="preserve">stanovisko ve věci jeho souladu s právními předpisy EU. ÚOHS ve své odpovědi v roce 2015 uvedl, že </w:t>
      </w:r>
      <w:r w:rsidRPr="00C34F01">
        <w:rPr>
          <w:rFonts w:ascii="Arial" w:eastAsia="Calibri" w:hAnsi="Arial" w:cs="Arial"/>
          <w:i/>
        </w:rPr>
        <w:t xml:space="preserve">„financování z veřejných prostředků projektů v oblasti výzkumu, vývoje a inovací nebude zakládat veřejnou podporu, pokud jsou veřejné prostředky poskytovány organizaci pro výzkum a šíření znalostí, ve smyslu odst. 15 písm. </w:t>
      </w:r>
      <w:proofErr w:type="spellStart"/>
      <w:r w:rsidRPr="00C34F01">
        <w:rPr>
          <w:rFonts w:ascii="Arial" w:eastAsia="Calibri" w:hAnsi="Arial" w:cs="Arial"/>
          <w:i/>
        </w:rPr>
        <w:t>ee</w:t>
      </w:r>
      <w:proofErr w:type="spellEnd"/>
      <w:r w:rsidRPr="00C34F01">
        <w:rPr>
          <w:rFonts w:ascii="Arial" w:eastAsia="Calibri" w:hAnsi="Arial" w:cs="Arial"/>
          <w:i/>
        </w:rPr>
        <w:t xml:space="preserve">) Rámce, a tyto prostředky směřují na financování jejích </w:t>
      </w:r>
      <w:proofErr w:type="spellStart"/>
      <w:r w:rsidRPr="00C34F01">
        <w:rPr>
          <w:rFonts w:ascii="Arial" w:eastAsia="Calibri" w:hAnsi="Arial" w:cs="Arial"/>
          <w:i/>
        </w:rPr>
        <w:t>nehospodářských</w:t>
      </w:r>
      <w:proofErr w:type="spellEnd"/>
      <w:r w:rsidRPr="00C34F01">
        <w:rPr>
          <w:rFonts w:ascii="Arial" w:eastAsia="Calibri" w:hAnsi="Arial" w:cs="Arial"/>
          <w:i/>
        </w:rPr>
        <w:t xml:space="preserve"> činností (zejm. odst. 19 Rámce). Pokud tedy bude ze strany poskytovatele zajištěno, že veřejné prostředky budou poskytnuty subjektům</w:t>
      </w:r>
      <w:r>
        <w:rPr>
          <w:rFonts w:ascii="Arial" w:eastAsia="Calibri" w:hAnsi="Arial" w:cs="Arial"/>
          <w:i/>
        </w:rPr>
        <w:t xml:space="preserve"> </w:t>
      </w:r>
      <w:r w:rsidRPr="00C34F01">
        <w:rPr>
          <w:rFonts w:ascii="Arial" w:eastAsia="Calibri" w:hAnsi="Arial" w:cs="Arial"/>
          <w:i/>
        </w:rPr>
        <w:t>/</w:t>
      </w:r>
      <w:r>
        <w:rPr>
          <w:rFonts w:ascii="Arial" w:eastAsia="Calibri" w:hAnsi="Arial" w:cs="Arial"/>
          <w:i/>
        </w:rPr>
        <w:t xml:space="preserve"> </w:t>
      </w:r>
      <w:r w:rsidRPr="00C34F01">
        <w:rPr>
          <w:rFonts w:ascii="Arial" w:eastAsia="Calibri" w:hAnsi="Arial" w:cs="Arial"/>
          <w:i/>
        </w:rPr>
        <w:t xml:space="preserve">velkým infrastrukturám, které splňují definici organizace pro výzkum a šíření znalostí a budou poskytnuty pouze na jejich </w:t>
      </w:r>
      <w:proofErr w:type="spellStart"/>
      <w:r w:rsidRPr="00C34F01">
        <w:rPr>
          <w:rFonts w:ascii="Arial" w:eastAsia="Calibri" w:hAnsi="Arial" w:cs="Arial"/>
          <w:i/>
        </w:rPr>
        <w:t>nehospodářské</w:t>
      </w:r>
      <w:proofErr w:type="spellEnd"/>
      <w:r w:rsidRPr="00C34F01">
        <w:rPr>
          <w:rFonts w:ascii="Arial" w:eastAsia="Calibri" w:hAnsi="Arial" w:cs="Arial"/>
          <w:i/>
        </w:rPr>
        <w:t xml:space="preserve"> činnosti, nebude takové financování zakládat veřejnou podporu ve smyslu čl. 107 odst. 1 SFEU a je tedy v navržené podobě v souladu s</w:t>
      </w:r>
      <w:r w:rsidR="00870A5D">
        <w:rPr>
          <w:rFonts w:ascii="Arial" w:eastAsia="Calibri" w:hAnsi="Arial" w:cs="Arial"/>
          <w:i/>
        </w:rPr>
        <w:t> </w:t>
      </w:r>
      <w:r w:rsidRPr="00C34F01">
        <w:rPr>
          <w:rFonts w:ascii="Arial" w:eastAsia="Calibri" w:hAnsi="Arial" w:cs="Arial"/>
          <w:i/>
        </w:rPr>
        <w:t>předpisy EU.“</w:t>
      </w:r>
      <w:r w:rsidRPr="00C34F01">
        <w:rPr>
          <w:rFonts w:ascii="Arial" w:eastAsia="Calibri" w:hAnsi="Arial" w:cs="Arial"/>
        </w:rPr>
        <w:t xml:space="preserve"> Současně ÚOHS </w:t>
      </w:r>
      <w:r>
        <w:rPr>
          <w:rFonts w:ascii="Arial" w:eastAsia="Calibri" w:hAnsi="Arial" w:cs="Arial"/>
        </w:rPr>
        <w:t xml:space="preserve">dále </w:t>
      </w:r>
      <w:r w:rsidRPr="00C34F01">
        <w:rPr>
          <w:rFonts w:ascii="Arial" w:eastAsia="Calibri" w:hAnsi="Arial" w:cs="Arial"/>
        </w:rPr>
        <w:t xml:space="preserve">uvedl, že </w:t>
      </w:r>
      <w:r w:rsidRPr="00C34F01">
        <w:rPr>
          <w:rFonts w:ascii="Arial" w:eastAsia="Calibri" w:hAnsi="Arial" w:cs="Arial"/>
          <w:i/>
        </w:rPr>
        <w:t xml:space="preserve">„je nezbytné vyhovět podmínkám obsaženým v odstavci 20 Rámce, dle kterého nesmí i) podíl kapacity pro hospodářské činnosti vykonávané na (z veřejných prostředků pořízené) výzkumné infrastruktuře přesáhnout 20% celkové roční kapacity výzkumné infrastruktury a současně </w:t>
      </w:r>
      <w:proofErr w:type="spellStart"/>
      <w:r w:rsidRPr="00C34F01">
        <w:rPr>
          <w:rFonts w:ascii="Arial" w:eastAsia="Calibri" w:hAnsi="Arial" w:cs="Arial"/>
          <w:i/>
        </w:rPr>
        <w:t>ii</w:t>
      </w:r>
      <w:proofErr w:type="spellEnd"/>
      <w:r w:rsidRPr="00C34F01">
        <w:rPr>
          <w:rFonts w:ascii="Arial" w:eastAsia="Calibri" w:hAnsi="Arial" w:cs="Arial"/>
          <w:i/>
        </w:rPr>
        <w:t xml:space="preserve">) její hospodářské využití je čistě vedlejší, tj. jedná se o činnost, která přímo souvisí s provozem výzkumné organizace nebo výzkumné infrastruktury a je pro její provoz nezbytná či je neoddělitelně spojena s jejím hlavním </w:t>
      </w:r>
      <w:proofErr w:type="spellStart"/>
      <w:r w:rsidRPr="00C34F01">
        <w:rPr>
          <w:rFonts w:ascii="Arial" w:eastAsia="Calibri" w:hAnsi="Arial" w:cs="Arial"/>
          <w:i/>
        </w:rPr>
        <w:t>nehospodářským</w:t>
      </w:r>
      <w:proofErr w:type="spellEnd"/>
      <w:r w:rsidRPr="00C34F01">
        <w:rPr>
          <w:rFonts w:ascii="Arial" w:eastAsia="Calibri" w:hAnsi="Arial" w:cs="Arial"/>
          <w:i/>
        </w:rPr>
        <w:t xml:space="preserve"> využitím a je omezena co do rozsahu.“</w:t>
      </w:r>
    </w:p>
    <w:p w14:paraId="2DCE3CE9" w14:textId="6FFB1DB1" w:rsidR="007758DF" w:rsidRDefault="007758DF" w:rsidP="007758DF">
      <w:pPr>
        <w:spacing w:after="0" w:line="240" w:lineRule="auto"/>
        <w:jc w:val="both"/>
        <w:rPr>
          <w:rFonts w:ascii="Arial" w:eastAsia="Calibri" w:hAnsi="Arial" w:cs="Arial"/>
        </w:rPr>
      </w:pPr>
    </w:p>
    <w:p w14:paraId="0FAEF462" w14:textId="7314277C" w:rsidR="00326F62" w:rsidRDefault="00326F62" w:rsidP="00326F62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 roce 2022 došlo k další novelizaci Rámce pro státní podporu VaVaI, když byla dne 28. října 2022 přijata jeho aktualizace (</w:t>
      </w:r>
      <w:r w:rsidRPr="00326F62">
        <w:rPr>
          <w:rFonts w:ascii="Arial" w:eastAsia="Calibri" w:hAnsi="Arial" w:cs="Arial"/>
        </w:rPr>
        <w:t>2022/C 414/01</w:t>
      </w:r>
      <w:r>
        <w:rPr>
          <w:rFonts w:ascii="Arial" w:eastAsia="Calibri" w:hAnsi="Arial" w:cs="Arial"/>
        </w:rPr>
        <w:t>). Nicméně p</w:t>
      </w:r>
      <w:r w:rsidRPr="00326F62">
        <w:rPr>
          <w:rFonts w:ascii="Arial" w:eastAsia="Calibri" w:hAnsi="Arial" w:cs="Arial"/>
        </w:rPr>
        <w:t>ři aktualizaci nedošlo k žádné úpravě týkající se poskytování podpory z veřejných prostředků</w:t>
      </w:r>
      <w:r>
        <w:rPr>
          <w:rFonts w:ascii="Arial" w:eastAsia="Calibri" w:hAnsi="Arial" w:cs="Arial"/>
        </w:rPr>
        <w:t xml:space="preserve"> vůči</w:t>
      </w:r>
      <w:r w:rsidRPr="00326F62">
        <w:rPr>
          <w:rFonts w:ascii="Arial" w:eastAsia="Calibri" w:hAnsi="Arial" w:cs="Arial"/>
        </w:rPr>
        <w:t xml:space="preserve"> organizacím pro výzkum a šíření znalostí. Poskytování účelové podpory MŠMT projektům velkých výzkumných infrastruktur se </w:t>
      </w:r>
      <w:r>
        <w:rPr>
          <w:rFonts w:ascii="Arial" w:eastAsia="Calibri" w:hAnsi="Arial" w:cs="Arial"/>
        </w:rPr>
        <w:t>přitom</w:t>
      </w:r>
      <w:r w:rsidRPr="00326F62">
        <w:rPr>
          <w:rFonts w:ascii="Arial" w:eastAsia="Calibri" w:hAnsi="Arial" w:cs="Arial"/>
        </w:rPr>
        <w:t xml:space="preserve"> opírá právě o ustanovení týkající se podpory organizací pro výzkum a šíření znalostí.</w:t>
      </w:r>
      <w:r>
        <w:rPr>
          <w:rFonts w:ascii="Arial" w:eastAsia="Calibri" w:hAnsi="Arial" w:cs="Arial"/>
        </w:rPr>
        <w:t xml:space="preserve"> </w:t>
      </w:r>
      <w:r w:rsidRPr="00326F62">
        <w:rPr>
          <w:rFonts w:ascii="Arial" w:eastAsia="Calibri" w:hAnsi="Arial" w:cs="Arial"/>
        </w:rPr>
        <w:t xml:space="preserve">MŠMT se z těchto důvodů nedomnívá, že je za těchto okolností nutné opět zkonzultovat </w:t>
      </w:r>
      <w:r>
        <w:rPr>
          <w:rFonts w:ascii="Arial" w:eastAsia="Calibri" w:hAnsi="Arial" w:cs="Arial"/>
        </w:rPr>
        <w:t>ÚOHS</w:t>
      </w:r>
      <w:r w:rsidRPr="00326F62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anebo</w:t>
      </w:r>
      <w:r w:rsidRPr="00326F62">
        <w:rPr>
          <w:rFonts w:ascii="Arial" w:eastAsia="Calibri" w:hAnsi="Arial" w:cs="Arial"/>
        </w:rPr>
        <w:t xml:space="preserve"> </w:t>
      </w:r>
      <w:r w:rsidRPr="00C34F01">
        <w:rPr>
          <w:rFonts w:ascii="Arial" w:eastAsia="Calibri" w:hAnsi="Arial" w:cs="Arial"/>
        </w:rPr>
        <w:t>DG COMPET</w:t>
      </w:r>
      <w:r w:rsidRPr="00326F62">
        <w:rPr>
          <w:rFonts w:ascii="Arial" w:eastAsia="Calibri" w:hAnsi="Arial" w:cs="Arial"/>
        </w:rPr>
        <w:t>.</w:t>
      </w:r>
    </w:p>
    <w:p w14:paraId="0B6A199D" w14:textId="77777777" w:rsidR="00326F62" w:rsidRPr="00C34F01" w:rsidRDefault="00326F62" w:rsidP="007758DF">
      <w:pPr>
        <w:spacing w:after="0" w:line="240" w:lineRule="auto"/>
        <w:jc w:val="both"/>
        <w:rPr>
          <w:rFonts w:ascii="Arial" w:eastAsia="Calibri" w:hAnsi="Arial" w:cs="Arial"/>
        </w:rPr>
      </w:pPr>
    </w:p>
    <w:p w14:paraId="65FB4CE7" w14:textId="758CA5ED" w:rsidR="009D1686" w:rsidRDefault="007758DF" w:rsidP="007758DF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Všeobecným účelem pravidel veřejné podpory v EU je zajistit, aby tato podpora nesměřovala mimo vymezený právní rámec a nenarušila tak hospodářskou soutěž mezi subjekty, které jsou ustaveny primárně za účelem zisku. </w:t>
      </w:r>
      <w:r w:rsidRPr="00293922">
        <w:rPr>
          <w:rFonts w:ascii="Arial" w:eastAsia="Calibri" w:hAnsi="Arial" w:cs="Arial"/>
          <w:bCs/>
        </w:rPr>
        <w:t xml:space="preserve">MŠMT bude výzkumným organizacím, které hostí velké výzkumné infrastruktury, poskytovat účelovou podporu k účelu financování </w:t>
      </w:r>
      <w:proofErr w:type="spellStart"/>
      <w:r w:rsidRPr="00293922">
        <w:rPr>
          <w:rFonts w:ascii="Arial" w:eastAsia="Calibri" w:hAnsi="Arial" w:cs="Arial"/>
          <w:bCs/>
        </w:rPr>
        <w:t>nehospodářských</w:t>
      </w:r>
      <w:proofErr w:type="spellEnd"/>
      <w:r w:rsidRPr="00293922">
        <w:rPr>
          <w:rFonts w:ascii="Arial" w:eastAsia="Calibri" w:hAnsi="Arial" w:cs="Arial"/>
          <w:bCs/>
        </w:rPr>
        <w:t xml:space="preserve"> činností na základě odst. 19 Rámce pro státní podporu </w:t>
      </w:r>
      <w:r w:rsidR="00293922">
        <w:rPr>
          <w:rFonts w:ascii="Arial" w:eastAsia="Calibri" w:hAnsi="Arial" w:cs="Arial"/>
          <w:bCs/>
        </w:rPr>
        <w:t>VaVaI</w:t>
      </w:r>
      <w:r w:rsidRPr="00293922">
        <w:rPr>
          <w:rFonts w:ascii="Arial" w:eastAsia="Calibri" w:hAnsi="Arial" w:cs="Arial"/>
          <w:bCs/>
        </w:rPr>
        <w:t xml:space="preserve"> (</w:t>
      </w:r>
      <w:r w:rsidR="00A15153" w:rsidRPr="00326F62">
        <w:rPr>
          <w:rFonts w:ascii="Arial" w:eastAsia="Calibri" w:hAnsi="Arial" w:cs="Arial"/>
        </w:rPr>
        <w:t>2022/C 414/01</w:t>
      </w:r>
      <w:r w:rsidRPr="00293922">
        <w:rPr>
          <w:rFonts w:ascii="Arial" w:eastAsia="Calibri" w:hAnsi="Arial" w:cs="Arial"/>
          <w:bCs/>
        </w:rPr>
        <w:t>). Pokud příjemci podpory</w:t>
      </w:r>
      <w:r w:rsidR="00293922" w:rsidRPr="00293922">
        <w:rPr>
          <w:rFonts w:ascii="Arial" w:eastAsia="Calibri" w:hAnsi="Arial" w:cs="Arial"/>
          <w:bCs/>
        </w:rPr>
        <w:t xml:space="preserve"> a</w:t>
      </w:r>
      <w:r w:rsidRPr="00293922">
        <w:rPr>
          <w:rFonts w:ascii="Arial" w:eastAsia="Calibri" w:hAnsi="Arial" w:cs="Arial"/>
          <w:bCs/>
        </w:rPr>
        <w:t xml:space="preserve"> další účastníci věcně příslušných projektů velkých výzkumných infrastruktur budou vykonávat hospodářské činnosti, tyto budou vždy </w:t>
      </w:r>
      <w:r w:rsidR="00293922">
        <w:rPr>
          <w:rFonts w:ascii="Arial" w:eastAsia="Calibri" w:hAnsi="Arial" w:cs="Arial"/>
          <w:bCs/>
        </w:rPr>
        <w:t>výlučně</w:t>
      </w:r>
      <w:r w:rsidRPr="00293922">
        <w:rPr>
          <w:rFonts w:ascii="Arial" w:eastAsia="Calibri" w:hAnsi="Arial" w:cs="Arial"/>
          <w:bCs/>
        </w:rPr>
        <w:t xml:space="preserve"> vedlejší povahy a budou vykazovat doplňkový charakter k hlavním </w:t>
      </w:r>
      <w:proofErr w:type="spellStart"/>
      <w:r w:rsidRPr="00293922">
        <w:rPr>
          <w:rFonts w:ascii="Arial" w:eastAsia="Calibri" w:hAnsi="Arial" w:cs="Arial"/>
          <w:bCs/>
        </w:rPr>
        <w:t>nehospodářským</w:t>
      </w:r>
      <w:proofErr w:type="spellEnd"/>
      <w:r w:rsidRPr="00293922">
        <w:rPr>
          <w:rFonts w:ascii="Arial" w:eastAsia="Calibri" w:hAnsi="Arial" w:cs="Arial"/>
          <w:bCs/>
        </w:rPr>
        <w:t xml:space="preserve"> činnostem rozvíjeným podle odst. 20 Rámce pro státní podporu </w:t>
      </w:r>
      <w:r w:rsidR="00293922">
        <w:rPr>
          <w:rFonts w:ascii="Arial" w:eastAsia="Calibri" w:hAnsi="Arial" w:cs="Arial"/>
          <w:bCs/>
        </w:rPr>
        <w:t>VaVaI</w:t>
      </w:r>
      <w:r w:rsidRPr="00293922">
        <w:rPr>
          <w:rFonts w:ascii="Arial" w:eastAsia="Calibri" w:hAnsi="Arial" w:cs="Arial"/>
          <w:bCs/>
        </w:rPr>
        <w:t xml:space="preserve"> (</w:t>
      </w:r>
      <w:r w:rsidR="00A15153" w:rsidRPr="00326F62">
        <w:rPr>
          <w:rFonts w:ascii="Arial" w:eastAsia="Calibri" w:hAnsi="Arial" w:cs="Arial"/>
        </w:rPr>
        <w:t>2022/C 414/01</w:t>
      </w:r>
      <w:r>
        <w:rPr>
          <w:rFonts w:ascii="Arial" w:eastAsia="Calibri" w:hAnsi="Arial" w:cs="Arial"/>
        </w:rPr>
        <w:t xml:space="preserve">). MŠMT bude </w:t>
      </w:r>
      <w:r w:rsidR="00C657BA">
        <w:rPr>
          <w:rFonts w:ascii="Arial" w:eastAsia="Calibri" w:hAnsi="Arial" w:cs="Arial"/>
        </w:rPr>
        <w:t xml:space="preserve">tedy </w:t>
      </w:r>
      <w:r>
        <w:rPr>
          <w:rFonts w:ascii="Arial" w:eastAsia="Calibri" w:hAnsi="Arial" w:cs="Arial"/>
        </w:rPr>
        <w:t xml:space="preserve">při poskytování účelové podpory velkým výzkumným infrastrukturám postupovat plně v souladu s Rámcem pro státní podporu </w:t>
      </w:r>
      <w:r w:rsidR="00293922">
        <w:rPr>
          <w:rFonts w:ascii="Arial" w:eastAsia="Calibri" w:hAnsi="Arial" w:cs="Arial"/>
        </w:rPr>
        <w:t>VaVaI</w:t>
      </w:r>
      <w:r>
        <w:rPr>
          <w:rFonts w:ascii="Arial" w:eastAsia="Calibri" w:hAnsi="Arial" w:cs="Arial"/>
        </w:rPr>
        <w:t xml:space="preserve"> (</w:t>
      </w:r>
      <w:r w:rsidR="00A15153" w:rsidRPr="00326F62">
        <w:rPr>
          <w:rFonts w:ascii="Arial" w:eastAsia="Calibri" w:hAnsi="Arial" w:cs="Arial"/>
        </w:rPr>
        <w:t>2022/C 414/01</w:t>
      </w:r>
      <w:r>
        <w:rPr>
          <w:rFonts w:ascii="Arial" w:eastAsia="Calibri" w:hAnsi="Arial" w:cs="Arial"/>
        </w:rPr>
        <w:t xml:space="preserve">) i doporučeními ÚOHS </w:t>
      </w:r>
      <w:r w:rsidR="00293922">
        <w:rPr>
          <w:rFonts w:ascii="Arial" w:eastAsia="Calibri" w:hAnsi="Arial" w:cs="Arial"/>
        </w:rPr>
        <w:t>jako</w:t>
      </w:r>
      <w:r>
        <w:rPr>
          <w:rFonts w:ascii="Arial" w:eastAsia="Calibri" w:hAnsi="Arial" w:cs="Arial"/>
        </w:rPr>
        <w:t xml:space="preserve"> konzultačním, koordinačním, poradenským a monitorovacím orgánem ČR pro oblast veřejné podpory.</w:t>
      </w:r>
      <w:r w:rsidR="00721597">
        <w:rPr>
          <w:rFonts w:ascii="Arial" w:eastAsia="Calibri" w:hAnsi="Arial" w:cs="Arial"/>
        </w:rPr>
        <w:t xml:space="preserve"> </w:t>
      </w:r>
    </w:p>
    <w:p w14:paraId="56685508" w14:textId="77777777" w:rsidR="009D1686" w:rsidRDefault="009D1686" w:rsidP="007758DF">
      <w:pPr>
        <w:spacing w:after="0" w:line="240" w:lineRule="auto"/>
        <w:jc w:val="both"/>
        <w:rPr>
          <w:rFonts w:ascii="Arial" w:eastAsia="Calibri" w:hAnsi="Arial" w:cs="Arial"/>
        </w:rPr>
      </w:pPr>
    </w:p>
    <w:p w14:paraId="0DBD472D" w14:textId="59ED6E4F" w:rsidR="007758DF" w:rsidRDefault="007758DF" w:rsidP="007758DF">
      <w:pPr>
        <w:spacing w:after="0" w:line="240" w:lineRule="auto"/>
        <w:jc w:val="both"/>
        <w:rPr>
          <w:rFonts w:ascii="Arial" w:eastAsia="Calibri" w:hAnsi="Arial" w:cs="Arial"/>
        </w:rPr>
      </w:pPr>
      <w:r w:rsidRPr="00C34F01">
        <w:rPr>
          <w:rFonts w:ascii="Arial" w:eastAsia="Calibri" w:hAnsi="Arial" w:cs="Arial"/>
        </w:rPr>
        <w:t xml:space="preserve">Výše uvedené podmínky </w:t>
      </w:r>
      <w:r>
        <w:rPr>
          <w:rFonts w:ascii="Arial" w:eastAsia="Calibri" w:hAnsi="Arial" w:cs="Arial"/>
        </w:rPr>
        <w:t>budou</w:t>
      </w:r>
      <w:r w:rsidRPr="00C34F01">
        <w:rPr>
          <w:rFonts w:ascii="Arial" w:eastAsia="Calibri" w:hAnsi="Arial" w:cs="Arial"/>
        </w:rPr>
        <w:t xml:space="preserve"> </w:t>
      </w:r>
      <w:r w:rsidR="00C657BA">
        <w:rPr>
          <w:rFonts w:ascii="Arial" w:eastAsia="Calibri" w:hAnsi="Arial" w:cs="Arial"/>
        </w:rPr>
        <w:t xml:space="preserve">ze strany </w:t>
      </w:r>
      <w:r w:rsidRPr="00C34F01">
        <w:rPr>
          <w:rFonts w:ascii="Arial" w:eastAsia="Calibri" w:hAnsi="Arial" w:cs="Arial"/>
        </w:rPr>
        <w:t xml:space="preserve">MŠMT explicitně </w:t>
      </w:r>
      <w:r w:rsidR="00C657BA">
        <w:rPr>
          <w:rFonts w:ascii="Arial" w:eastAsia="Calibri" w:hAnsi="Arial" w:cs="Arial"/>
        </w:rPr>
        <w:t xml:space="preserve">stanoveny </w:t>
      </w:r>
      <w:r w:rsidR="009D1686">
        <w:rPr>
          <w:rFonts w:ascii="Arial" w:eastAsia="Calibri" w:hAnsi="Arial" w:cs="Arial"/>
        </w:rPr>
        <w:t>také</w:t>
      </w:r>
      <w:r w:rsidRPr="00C34F01">
        <w:rPr>
          <w:rFonts w:ascii="Arial" w:eastAsia="Calibri" w:hAnsi="Arial" w:cs="Arial"/>
        </w:rPr>
        <w:t xml:space="preserve"> v </w:t>
      </w:r>
      <w:r w:rsidRPr="007E4780">
        <w:rPr>
          <w:rFonts w:ascii="Arial" w:eastAsia="Calibri" w:hAnsi="Arial" w:cs="Arial"/>
          <w:b/>
        </w:rPr>
        <w:t>právních aktech</w:t>
      </w:r>
      <w:r w:rsidRPr="00C34F01">
        <w:rPr>
          <w:rFonts w:ascii="Arial" w:eastAsia="Calibri" w:hAnsi="Arial" w:cs="Arial"/>
        </w:rPr>
        <w:t xml:space="preserve"> </w:t>
      </w:r>
      <w:r w:rsidR="00C657BA">
        <w:rPr>
          <w:rFonts w:ascii="Arial" w:eastAsia="Calibri" w:hAnsi="Arial" w:cs="Arial"/>
        </w:rPr>
        <w:t>o</w:t>
      </w:r>
      <w:r w:rsidR="00C657BA" w:rsidRPr="00C34F01">
        <w:rPr>
          <w:rFonts w:ascii="Arial" w:eastAsia="Calibri" w:hAnsi="Arial" w:cs="Arial"/>
        </w:rPr>
        <w:t xml:space="preserve"> poskyt</w:t>
      </w:r>
      <w:r w:rsidR="00C657BA">
        <w:rPr>
          <w:rFonts w:ascii="Arial" w:eastAsia="Calibri" w:hAnsi="Arial" w:cs="Arial"/>
        </w:rPr>
        <w:t>ování</w:t>
      </w:r>
      <w:r w:rsidR="00C657BA" w:rsidRPr="00C34F01">
        <w:rPr>
          <w:rFonts w:ascii="Arial" w:eastAsia="Calibri" w:hAnsi="Arial" w:cs="Arial"/>
        </w:rPr>
        <w:t xml:space="preserve"> </w:t>
      </w:r>
      <w:r w:rsidR="00C657BA">
        <w:rPr>
          <w:rFonts w:ascii="Arial" w:eastAsia="Calibri" w:hAnsi="Arial" w:cs="Arial"/>
        </w:rPr>
        <w:t xml:space="preserve">účelové </w:t>
      </w:r>
      <w:r w:rsidR="00C657BA" w:rsidRPr="00C34F01">
        <w:rPr>
          <w:rFonts w:ascii="Arial" w:eastAsia="Calibri" w:hAnsi="Arial" w:cs="Arial"/>
        </w:rPr>
        <w:t xml:space="preserve">podpory </w:t>
      </w:r>
      <w:r w:rsidRPr="00C34F01">
        <w:rPr>
          <w:rFonts w:ascii="Arial" w:eastAsia="Calibri" w:hAnsi="Arial" w:cs="Arial"/>
        </w:rPr>
        <w:t xml:space="preserve">sjednávaných </w:t>
      </w:r>
      <w:r w:rsidR="00C657BA">
        <w:rPr>
          <w:rFonts w:ascii="Arial" w:eastAsia="Calibri" w:hAnsi="Arial" w:cs="Arial"/>
        </w:rPr>
        <w:t xml:space="preserve">MŠMT </w:t>
      </w:r>
      <w:r w:rsidRPr="00C34F01">
        <w:rPr>
          <w:rFonts w:ascii="Arial" w:eastAsia="Calibri" w:hAnsi="Arial" w:cs="Arial"/>
        </w:rPr>
        <w:t>s výzkumnými organizacemi hostujícími velké výzkumné infrastruktury.</w:t>
      </w:r>
    </w:p>
    <w:p w14:paraId="04ADA664" w14:textId="77777777" w:rsidR="00C66A54" w:rsidRDefault="00C66A54" w:rsidP="007758DF">
      <w:pPr>
        <w:spacing w:after="0" w:line="240" w:lineRule="auto"/>
        <w:jc w:val="both"/>
        <w:rPr>
          <w:rFonts w:ascii="Arial" w:eastAsia="Calibri" w:hAnsi="Arial" w:cs="Arial"/>
        </w:rPr>
      </w:pPr>
    </w:p>
    <w:p w14:paraId="552C8F43" w14:textId="14D50E11" w:rsidR="007758DF" w:rsidRDefault="007758DF" w:rsidP="007758DF">
      <w:pPr>
        <w:spacing w:after="0" w:line="240" w:lineRule="auto"/>
        <w:jc w:val="both"/>
        <w:rPr>
          <w:rFonts w:ascii="Arial" w:eastAsia="Calibri" w:hAnsi="Arial" w:cs="Arial"/>
        </w:rPr>
      </w:pPr>
      <w:r w:rsidRPr="00A96B61">
        <w:rPr>
          <w:rFonts w:ascii="Arial" w:eastAsia="Calibri" w:hAnsi="Arial" w:cs="Arial"/>
        </w:rPr>
        <w:t xml:space="preserve">Dotační titul velkých výzkumných infrastruktur lze v tomto kontextu nahlížet </w:t>
      </w:r>
      <w:r w:rsidR="00721597">
        <w:rPr>
          <w:rFonts w:ascii="Arial" w:eastAsia="Calibri" w:hAnsi="Arial" w:cs="Arial"/>
        </w:rPr>
        <w:t xml:space="preserve">plně </w:t>
      </w:r>
      <w:r w:rsidRPr="00721597">
        <w:rPr>
          <w:rFonts w:ascii="Arial" w:eastAsia="Calibri" w:hAnsi="Arial" w:cs="Arial"/>
          <w:b/>
          <w:bCs/>
        </w:rPr>
        <w:t>analogicky k ostatním dotačním titulům</w:t>
      </w:r>
      <w:r w:rsidRPr="00A96B61">
        <w:rPr>
          <w:rFonts w:ascii="Arial" w:eastAsia="Calibri" w:hAnsi="Arial" w:cs="Arial"/>
        </w:rPr>
        <w:t xml:space="preserve"> využívajícím </w:t>
      </w:r>
      <w:r w:rsidR="00721597">
        <w:rPr>
          <w:rFonts w:ascii="Arial" w:eastAsia="Calibri" w:hAnsi="Arial" w:cs="Arial"/>
        </w:rPr>
        <w:t>zdroje</w:t>
      </w:r>
      <w:r w:rsidRPr="00A96B61">
        <w:rPr>
          <w:rFonts w:ascii="Arial" w:eastAsia="Calibri" w:hAnsi="Arial" w:cs="Arial"/>
        </w:rPr>
        <w:t xml:space="preserve"> státního rozpočtu ČR na </w:t>
      </w:r>
      <w:r w:rsidR="00721597">
        <w:rPr>
          <w:rFonts w:ascii="Arial" w:eastAsia="Calibri" w:hAnsi="Arial" w:cs="Arial"/>
        </w:rPr>
        <w:t>VaVaI</w:t>
      </w:r>
      <w:r w:rsidRPr="00A96B61">
        <w:rPr>
          <w:rFonts w:ascii="Arial" w:eastAsia="Calibri" w:hAnsi="Arial" w:cs="Arial"/>
        </w:rPr>
        <w:t xml:space="preserve"> za účelem podpory výzkumných organizací</w:t>
      </w:r>
      <w:r w:rsidR="004B43A8">
        <w:rPr>
          <w:rFonts w:ascii="Arial" w:eastAsia="Calibri" w:hAnsi="Arial" w:cs="Arial"/>
        </w:rPr>
        <w:t xml:space="preserve"> v </w:t>
      </w:r>
      <w:proofErr w:type="spellStart"/>
      <w:r w:rsidR="004B43A8">
        <w:rPr>
          <w:rFonts w:ascii="Arial" w:eastAsia="Calibri" w:hAnsi="Arial" w:cs="Arial"/>
        </w:rPr>
        <w:t>nehospodářských</w:t>
      </w:r>
      <w:proofErr w:type="spellEnd"/>
      <w:r w:rsidR="004B43A8">
        <w:rPr>
          <w:rFonts w:ascii="Arial" w:eastAsia="Calibri" w:hAnsi="Arial" w:cs="Arial"/>
        </w:rPr>
        <w:t xml:space="preserve"> činnostech</w:t>
      </w:r>
      <w:r w:rsidRPr="00A96B61">
        <w:rPr>
          <w:rFonts w:ascii="Arial" w:eastAsia="Calibri" w:hAnsi="Arial" w:cs="Arial"/>
        </w:rPr>
        <w:t>.</w:t>
      </w:r>
      <w:r w:rsidRPr="00C34F01">
        <w:rPr>
          <w:rFonts w:ascii="Arial" w:eastAsia="Calibri" w:hAnsi="Arial" w:cs="Arial"/>
        </w:rPr>
        <w:t xml:space="preserve"> Na </w:t>
      </w:r>
      <w:r>
        <w:rPr>
          <w:rFonts w:ascii="Arial" w:eastAsia="Calibri" w:hAnsi="Arial" w:cs="Arial"/>
        </w:rPr>
        <w:t>stejném</w:t>
      </w:r>
      <w:r w:rsidRPr="00C34F01">
        <w:rPr>
          <w:rFonts w:ascii="Arial" w:eastAsia="Calibri" w:hAnsi="Arial" w:cs="Arial"/>
        </w:rPr>
        <w:t xml:space="preserve"> právním základě je </w:t>
      </w:r>
      <w:r w:rsidR="005B40DF" w:rsidRPr="00C34F01">
        <w:rPr>
          <w:rFonts w:ascii="Arial" w:eastAsia="Calibri" w:hAnsi="Arial" w:cs="Arial"/>
        </w:rPr>
        <w:t>příslušný</w:t>
      </w:r>
      <w:r w:rsidR="005B40DF">
        <w:rPr>
          <w:rFonts w:ascii="Arial" w:eastAsia="Calibri" w:hAnsi="Arial" w:cs="Arial"/>
        </w:rPr>
        <w:t>mi</w:t>
      </w:r>
      <w:r w:rsidR="005B40DF" w:rsidRPr="00C34F01">
        <w:rPr>
          <w:rFonts w:ascii="Arial" w:eastAsia="Calibri" w:hAnsi="Arial" w:cs="Arial"/>
        </w:rPr>
        <w:t xml:space="preserve"> poskytovatel</w:t>
      </w:r>
      <w:r w:rsidR="005B40DF">
        <w:rPr>
          <w:rFonts w:ascii="Arial" w:eastAsia="Calibri" w:hAnsi="Arial" w:cs="Arial"/>
        </w:rPr>
        <w:t xml:space="preserve">i </w:t>
      </w:r>
      <w:r w:rsidRPr="00C34F01">
        <w:rPr>
          <w:rFonts w:ascii="Arial" w:eastAsia="Calibri" w:hAnsi="Arial" w:cs="Arial"/>
        </w:rPr>
        <w:t>poskytována</w:t>
      </w:r>
      <w:r w:rsidR="00721597">
        <w:rPr>
          <w:rFonts w:ascii="Arial" w:eastAsia="Calibri" w:hAnsi="Arial" w:cs="Arial"/>
        </w:rPr>
        <w:t xml:space="preserve"> </w:t>
      </w:r>
      <w:r w:rsidR="005B40DF">
        <w:rPr>
          <w:rFonts w:ascii="Arial" w:eastAsia="Calibri" w:hAnsi="Arial" w:cs="Arial"/>
        </w:rPr>
        <w:t xml:space="preserve">i </w:t>
      </w:r>
      <w:r w:rsidRPr="00C34F01">
        <w:rPr>
          <w:rFonts w:ascii="Arial" w:eastAsia="Calibri" w:hAnsi="Arial" w:cs="Arial"/>
        </w:rPr>
        <w:t xml:space="preserve">institucionální podpora na dlouhodobý koncepční rozvoj výzkumných organizací, </w:t>
      </w:r>
      <w:r>
        <w:rPr>
          <w:rFonts w:ascii="Arial" w:eastAsia="Calibri" w:hAnsi="Arial" w:cs="Arial"/>
        </w:rPr>
        <w:t xml:space="preserve">bez potřeby notifikace </w:t>
      </w:r>
      <w:r w:rsidRPr="00C34F01">
        <w:rPr>
          <w:rFonts w:ascii="Arial" w:eastAsia="Calibri" w:hAnsi="Arial" w:cs="Arial"/>
        </w:rPr>
        <w:t xml:space="preserve">dotačního titulu </w:t>
      </w:r>
      <w:r w:rsidR="001F4311">
        <w:rPr>
          <w:rFonts w:ascii="Arial" w:eastAsia="Calibri" w:hAnsi="Arial" w:cs="Arial"/>
        </w:rPr>
        <w:t xml:space="preserve">od </w:t>
      </w:r>
      <w:r w:rsidR="00721597">
        <w:rPr>
          <w:rFonts w:ascii="Arial" w:eastAsia="Calibri" w:hAnsi="Arial" w:cs="Arial"/>
        </w:rPr>
        <w:t>DG COMPET</w:t>
      </w:r>
      <w:r w:rsidRPr="00C34F01">
        <w:rPr>
          <w:rFonts w:ascii="Arial" w:eastAsia="Calibri" w:hAnsi="Arial" w:cs="Arial"/>
        </w:rPr>
        <w:t xml:space="preserve">, </w:t>
      </w:r>
      <w:r w:rsidR="00721597">
        <w:rPr>
          <w:rFonts w:ascii="Arial" w:eastAsia="Calibri" w:hAnsi="Arial" w:cs="Arial"/>
        </w:rPr>
        <w:t>neboť</w:t>
      </w:r>
      <w:r w:rsidRPr="00C34F01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dotační titul </w:t>
      </w:r>
      <w:r w:rsidRPr="00C34F01">
        <w:rPr>
          <w:rFonts w:ascii="Arial" w:eastAsia="Calibri" w:hAnsi="Arial" w:cs="Arial"/>
        </w:rPr>
        <w:t>nezakládá veřejnou podporu ve smyslu čl. 107 odst. 1 Smlouvy o fungování EU</w:t>
      </w:r>
      <w:r w:rsidR="00721597">
        <w:rPr>
          <w:rFonts w:ascii="Arial" w:eastAsia="Calibri" w:hAnsi="Arial" w:cs="Arial"/>
        </w:rPr>
        <w:t>.</w:t>
      </w:r>
    </w:p>
    <w:p w14:paraId="4C895D72" w14:textId="77777777" w:rsidR="00C66A54" w:rsidRDefault="00C66A54" w:rsidP="007758DF">
      <w:pPr>
        <w:spacing w:after="0" w:line="240" w:lineRule="auto"/>
        <w:jc w:val="both"/>
        <w:rPr>
          <w:rFonts w:ascii="Arial" w:eastAsia="Calibri" w:hAnsi="Arial" w:cs="Arial"/>
        </w:rPr>
      </w:pPr>
    </w:p>
    <w:p w14:paraId="2ECFE149" w14:textId="300964C3" w:rsidR="009920E5" w:rsidRPr="00AF0A88" w:rsidRDefault="009920E5" w:rsidP="009920E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caps/>
          <w:u w:val="single"/>
        </w:rPr>
      </w:pPr>
      <w:bookmarkStart w:id="2" w:name="_Hlk111015134"/>
      <w:r>
        <w:rPr>
          <w:rFonts w:ascii="Arial" w:eastAsia="Calibri" w:hAnsi="Arial" w:cs="Arial"/>
          <w:b/>
          <w:caps/>
          <w:u w:val="single"/>
        </w:rPr>
        <w:t>závěr</w:t>
      </w:r>
      <w:bookmarkEnd w:id="2"/>
    </w:p>
    <w:p w14:paraId="3DEDF8EA" w14:textId="669B8A75" w:rsidR="00D8760D" w:rsidRDefault="00D8760D" w:rsidP="008360F6">
      <w:pPr>
        <w:spacing w:after="0" w:line="240" w:lineRule="auto"/>
        <w:jc w:val="both"/>
        <w:rPr>
          <w:rFonts w:ascii="Arial" w:eastAsia="Calibri" w:hAnsi="Arial" w:cs="Arial"/>
        </w:rPr>
      </w:pPr>
    </w:p>
    <w:p w14:paraId="64ECE8BA" w14:textId="77777777" w:rsidR="004B43A8" w:rsidRPr="004B43A8" w:rsidRDefault="004B43A8" w:rsidP="004B43A8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vanish/>
          <w:u w:val="single"/>
        </w:rPr>
      </w:pPr>
    </w:p>
    <w:p w14:paraId="652A30B1" w14:textId="02BC6521" w:rsidR="004B43A8" w:rsidRPr="00EB7026" w:rsidRDefault="004B43A8" w:rsidP="004B43A8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Výdaje státního rozpočtu ČR na VaVaI</w:t>
      </w:r>
    </w:p>
    <w:p w14:paraId="1E9AD3E3" w14:textId="77777777" w:rsidR="004B43A8" w:rsidRPr="009920E5" w:rsidRDefault="004B43A8" w:rsidP="004B43A8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657529C7" w14:textId="284CD7DF" w:rsidR="004B43A8" w:rsidRDefault="008E2B16" w:rsidP="009045E6">
      <w:pPr>
        <w:spacing w:after="0" w:line="240" w:lineRule="auto"/>
        <w:jc w:val="both"/>
        <w:rPr>
          <w:rFonts w:ascii="Arial" w:eastAsia="Calibri" w:hAnsi="Arial" w:cs="Arial"/>
        </w:rPr>
      </w:pPr>
      <w:r w:rsidRPr="0029369A">
        <w:rPr>
          <w:rFonts w:ascii="Arial" w:eastAsia="Calibri" w:hAnsi="Arial" w:cs="Arial"/>
        </w:rPr>
        <w:t xml:space="preserve">Účelová podpora velkým výzkumným infrastrukturám schváleným vládou ČR bude ze strany MŠMT poskytována </w:t>
      </w:r>
      <w:r w:rsidRPr="004B43A8">
        <w:rPr>
          <w:rFonts w:ascii="Arial" w:eastAsia="Calibri" w:hAnsi="Arial" w:cs="Arial"/>
          <w:b/>
          <w:bCs/>
        </w:rPr>
        <w:t xml:space="preserve">v souladu s výdajovými rámci státního rozpočtu ČR </w:t>
      </w:r>
      <w:r w:rsidR="00746133">
        <w:rPr>
          <w:rFonts w:ascii="Arial" w:eastAsia="Calibri" w:hAnsi="Arial" w:cs="Arial"/>
          <w:b/>
          <w:bCs/>
        </w:rPr>
        <w:t>na VaVaI p</w:t>
      </w:r>
      <w:r w:rsidR="009920E5" w:rsidRPr="004B43A8">
        <w:rPr>
          <w:rFonts w:ascii="Arial" w:eastAsia="Calibri" w:hAnsi="Arial" w:cs="Arial"/>
          <w:b/>
          <w:bCs/>
        </w:rPr>
        <w:t>ro</w:t>
      </w:r>
      <w:r w:rsidRPr="004B43A8">
        <w:rPr>
          <w:rFonts w:ascii="Arial" w:eastAsia="Calibri" w:hAnsi="Arial" w:cs="Arial"/>
          <w:b/>
          <w:bCs/>
        </w:rPr>
        <w:t xml:space="preserve"> rok 20</w:t>
      </w:r>
      <w:r w:rsidR="009920E5" w:rsidRPr="004B43A8">
        <w:rPr>
          <w:rFonts w:ascii="Arial" w:eastAsia="Calibri" w:hAnsi="Arial" w:cs="Arial"/>
          <w:b/>
          <w:bCs/>
        </w:rPr>
        <w:t>23</w:t>
      </w:r>
      <w:r w:rsidRPr="004B43A8">
        <w:rPr>
          <w:rFonts w:ascii="Arial" w:eastAsia="Calibri" w:hAnsi="Arial" w:cs="Arial"/>
          <w:b/>
          <w:bCs/>
        </w:rPr>
        <w:t xml:space="preserve"> </w:t>
      </w:r>
      <w:r w:rsidR="009920E5" w:rsidRPr="004B43A8">
        <w:rPr>
          <w:rFonts w:ascii="Arial" w:eastAsia="Calibri" w:hAnsi="Arial" w:cs="Arial"/>
          <w:b/>
          <w:bCs/>
        </w:rPr>
        <w:t xml:space="preserve">a jeho </w:t>
      </w:r>
      <w:r w:rsidRPr="004B43A8">
        <w:rPr>
          <w:rFonts w:ascii="Arial" w:eastAsia="Calibri" w:hAnsi="Arial" w:cs="Arial"/>
          <w:b/>
          <w:bCs/>
        </w:rPr>
        <w:t>střednědobým výhledem na léta 202</w:t>
      </w:r>
      <w:r w:rsidR="009920E5" w:rsidRPr="004B43A8">
        <w:rPr>
          <w:rFonts w:ascii="Arial" w:eastAsia="Calibri" w:hAnsi="Arial" w:cs="Arial"/>
          <w:b/>
          <w:bCs/>
        </w:rPr>
        <w:t>4–</w:t>
      </w:r>
      <w:r w:rsidRPr="004B43A8">
        <w:rPr>
          <w:rFonts w:ascii="Arial" w:eastAsia="Calibri" w:hAnsi="Arial" w:cs="Arial"/>
          <w:b/>
          <w:bCs/>
        </w:rPr>
        <w:t>202</w:t>
      </w:r>
      <w:r w:rsidR="009920E5" w:rsidRPr="004B43A8">
        <w:rPr>
          <w:rFonts w:ascii="Arial" w:eastAsia="Calibri" w:hAnsi="Arial" w:cs="Arial"/>
          <w:b/>
          <w:bCs/>
        </w:rPr>
        <w:t>5</w:t>
      </w:r>
      <w:r w:rsidR="00746133">
        <w:rPr>
          <w:rFonts w:ascii="Arial" w:eastAsia="Calibri" w:hAnsi="Arial" w:cs="Arial"/>
        </w:rPr>
        <w:t xml:space="preserve">, </w:t>
      </w:r>
      <w:r w:rsidR="00746133" w:rsidRPr="00746133">
        <w:rPr>
          <w:rFonts w:ascii="Arial" w:eastAsia="Calibri" w:hAnsi="Arial" w:cs="Arial"/>
        </w:rPr>
        <w:t>schváleným</w:t>
      </w:r>
      <w:r w:rsidR="00746133">
        <w:rPr>
          <w:rFonts w:ascii="Arial" w:eastAsia="Calibri" w:hAnsi="Arial" w:cs="Arial"/>
        </w:rPr>
        <w:t>i</w:t>
      </w:r>
      <w:r w:rsidR="00746133" w:rsidRPr="00746133">
        <w:rPr>
          <w:rFonts w:ascii="Arial" w:eastAsia="Calibri" w:hAnsi="Arial" w:cs="Arial"/>
        </w:rPr>
        <w:t xml:space="preserve"> usnesením vlády ČR ze dne 26. září 2022 č. 808</w:t>
      </w:r>
      <w:r w:rsidR="00746133">
        <w:rPr>
          <w:rFonts w:ascii="Arial" w:eastAsia="Calibri" w:hAnsi="Arial" w:cs="Arial"/>
        </w:rPr>
        <w:t>.</w:t>
      </w:r>
    </w:p>
    <w:p w14:paraId="12534960" w14:textId="77777777" w:rsidR="004B43A8" w:rsidRDefault="004B43A8" w:rsidP="009045E6">
      <w:pPr>
        <w:spacing w:after="0" w:line="240" w:lineRule="auto"/>
        <w:jc w:val="both"/>
        <w:rPr>
          <w:rFonts w:ascii="Arial" w:eastAsia="Calibri" w:hAnsi="Arial" w:cs="Arial"/>
        </w:rPr>
      </w:pPr>
    </w:p>
    <w:p w14:paraId="00D6AA95" w14:textId="5FAE8AED" w:rsidR="00746133" w:rsidRDefault="006A2834" w:rsidP="009045E6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Ministryně pro vědu, výzkum a inovace a předsedkyně RVVI</w:t>
      </w:r>
      <w:r w:rsidR="00746133" w:rsidRPr="00746133">
        <w:rPr>
          <w:rFonts w:ascii="Arial" w:eastAsia="Calibri" w:hAnsi="Arial" w:cs="Arial"/>
          <w:b/>
          <w:bCs/>
        </w:rPr>
        <w:t xml:space="preserve"> bude při přípravě návrhů výdajů státního rozpočtu ČR na VaVaI </w:t>
      </w:r>
      <w:r w:rsidR="00746133">
        <w:rPr>
          <w:rFonts w:ascii="Arial" w:eastAsia="Calibri" w:hAnsi="Arial" w:cs="Arial"/>
          <w:b/>
          <w:bCs/>
        </w:rPr>
        <w:t>pro</w:t>
      </w:r>
      <w:r w:rsidR="00746133" w:rsidRPr="00746133">
        <w:rPr>
          <w:rFonts w:ascii="Arial" w:eastAsia="Calibri" w:hAnsi="Arial" w:cs="Arial"/>
          <w:b/>
          <w:bCs/>
        </w:rPr>
        <w:t xml:space="preserve"> nadcházející l</w:t>
      </w:r>
      <w:r w:rsidR="00746133">
        <w:rPr>
          <w:rFonts w:ascii="Arial" w:eastAsia="Calibri" w:hAnsi="Arial" w:cs="Arial"/>
          <w:b/>
          <w:bCs/>
        </w:rPr>
        <w:t>éta</w:t>
      </w:r>
      <w:r w:rsidR="00746133" w:rsidRPr="00746133">
        <w:rPr>
          <w:rFonts w:ascii="Arial" w:eastAsia="Calibri" w:hAnsi="Arial" w:cs="Arial"/>
          <w:b/>
          <w:bCs/>
        </w:rPr>
        <w:t xml:space="preserve"> 2024</w:t>
      </w:r>
      <w:r w:rsidR="00746133">
        <w:rPr>
          <w:rFonts w:ascii="Arial" w:eastAsia="Calibri" w:hAnsi="Arial" w:cs="Arial"/>
          <w:b/>
          <w:bCs/>
        </w:rPr>
        <w:t>–</w:t>
      </w:r>
      <w:r w:rsidR="00746133" w:rsidRPr="00746133">
        <w:rPr>
          <w:rFonts w:ascii="Arial" w:eastAsia="Calibri" w:hAnsi="Arial" w:cs="Arial"/>
          <w:b/>
          <w:bCs/>
        </w:rPr>
        <w:t xml:space="preserve">2026 </w:t>
      </w:r>
      <w:r w:rsidR="00CC1615">
        <w:rPr>
          <w:rFonts w:ascii="Arial" w:eastAsia="Calibri" w:hAnsi="Arial" w:cs="Arial"/>
          <w:b/>
          <w:bCs/>
        </w:rPr>
        <w:t xml:space="preserve">podporovat, co se týče </w:t>
      </w:r>
      <w:r w:rsidR="00746133" w:rsidRPr="00746133">
        <w:rPr>
          <w:rFonts w:ascii="Arial" w:eastAsia="Calibri" w:hAnsi="Arial" w:cs="Arial"/>
          <w:b/>
          <w:bCs/>
        </w:rPr>
        <w:t>účelov</w:t>
      </w:r>
      <w:r w:rsidR="00CC1615">
        <w:rPr>
          <w:rFonts w:ascii="Arial" w:eastAsia="Calibri" w:hAnsi="Arial" w:cs="Arial"/>
          <w:b/>
          <w:bCs/>
        </w:rPr>
        <w:t>é</w:t>
      </w:r>
      <w:r w:rsidR="00746133" w:rsidRPr="00746133">
        <w:rPr>
          <w:rFonts w:ascii="Arial" w:eastAsia="Calibri" w:hAnsi="Arial" w:cs="Arial"/>
          <w:b/>
          <w:bCs/>
        </w:rPr>
        <w:t xml:space="preserve"> podpor</w:t>
      </w:r>
      <w:r w:rsidR="00CC1615">
        <w:rPr>
          <w:rFonts w:ascii="Arial" w:eastAsia="Calibri" w:hAnsi="Arial" w:cs="Arial"/>
          <w:b/>
          <w:bCs/>
        </w:rPr>
        <w:t>y</w:t>
      </w:r>
      <w:r w:rsidR="00746133" w:rsidRPr="00746133">
        <w:rPr>
          <w:rFonts w:ascii="Arial" w:eastAsia="Calibri" w:hAnsi="Arial" w:cs="Arial"/>
          <w:b/>
          <w:bCs/>
        </w:rPr>
        <w:t xml:space="preserve"> velkých výzkumných infrastruktur</w:t>
      </w:r>
      <w:r w:rsidR="00CC1615">
        <w:rPr>
          <w:rFonts w:ascii="Arial" w:eastAsia="Calibri" w:hAnsi="Arial" w:cs="Arial"/>
          <w:b/>
          <w:bCs/>
        </w:rPr>
        <w:t>,</w:t>
      </w:r>
      <w:r w:rsidR="00746133" w:rsidRPr="00746133">
        <w:rPr>
          <w:rFonts w:ascii="Arial" w:eastAsia="Calibri" w:hAnsi="Arial" w:cs="Arial"/>
          <w:b/>
          <w:bCs/>
        </w:rPr>
        <w:t xml:space="preserve"> alespoň </w:t>
      </w:r>
      <w:r w:rsidR="00746133">
        <w:rPr>
          <w:rFonts w:ascii="Arial" w:eastAsia="Calibri" w:hAnsi="Arial" w:cs="Arial"/>
          <w:b/>
          <w:bCs/>
        </w:rPr>
        <w:t>zdroje</w:t>
      </w:r>
      <w:r w:rsidR="00746133" w:rsidRPr="00746133">
        <w:rPr>
          <w:rFonts w:ascii="Arial" w:eastAsia="Calibri" w:hAnsi="Arial" w:cs="Arial"/>
          <w:b/>
          <w:bCs/>
        </w:rPr>
        <w:t xml:space="preserve"> odpovídající </w:t>
      </w:r>
      <w:r w:rsidR="00746133">
        <w:rPr>
          <w:rFonts w:ascii="Arial" w:eastAsia="Calibri" w:hAnsi="Arial" w:cs="Arial"/>
          <w:b/>
          <w:bCs/>
        </w:rPr>
        <w:t>tzv. krizovému scénáři financování velkých výzkumných infrastruktur</w:t>
      </w:r>
      <w:r w:rsidR="00746133" w:rsidRPr="00746133">
        <w:rPr>
          <w:rFonts w:ascii="Arial" w:eastAsia="Calibri" w:hAnsi="Arial" w:cs="Arial"/>
          <w:b/>
          <w:bCs/>
        </w:rPr>
        <w:t>, za předpokladu navýšení výdajových limitů státního rozpočtu ČR na VaVaI oproti výdajovým rámcům schváleným usnesením vlády ČR ze dne 26. září 2022 č. 808</w:t>
      </w:r>
      <w:r w:rsidR="00A066B0">
        <w:rPr>
          <w:rFonts w:ascii="Arial" w:eastAsia="Calibri" w:hAnsi="Arial" w:cs="Arial"/>
          <w:b/>
          <w:bCs/>
        </w:rPr>
        <w:t xml:space="preserve">, </w:t>
      </w:r>
      <w:r w:rsidR="00CC1615">
        <w:rPr>
          <w:rFonts w:ascii="Arial" w:eastAsia="Calibri" w:hAnsi="Arial" w:cs="Arial"/>
          <w:b/>
          <w:bCs/>
        </w:rPr>
        <w:t>které</w:t>
      </w:r>
      <w:r w:rsidR="00A066B0" w:rsidRPr="00A066B0">
        <w:rPr>
          <w:rFonts w:ascii="Arial" w:eastAsia="Calibri" w:hAnsi="Arial" w:cs="Arial"/>
          <w:b/>
          <w:bCs/>
        </w:rPr>
        <w:t xml:space="preserve"> pokryje systémové potřeby všech segmentů </w:t>
      </w:r>
      <w:r w:rsidR="00A066B0">
        <w:rPr>
          <w:rFonts w:ascii="Arial" w:eastAsia="Calibri" w:hAnsi="Arial" w:cs="Arial"/>
          <w:b/>
          <w:bCs/>
        </w:rPr>
        <w:t>VaVaI</w:t>
      </w:r>
      <w:r w:rsidR="00A066B0" w:rsidRPr="00A066B0">
        <w:rPr>
          <w:rFonts w:ascii="Arial" w:eastAsia="Calibri" w:hAnsi="Arial" w:cs="Arial"/>
          <w:b/>
          <w:bCs/>
        </w:rPr>
        <w:t xml:space="preserve"> ČR</w:t>
      </w:r>
      <w:r w:rsidR="00746133" w:rsidRPr="00746133">
        <w:rPr>
          <w:rFonts w:ascii="Arial" w:eastAsia="Calibri" w:hAnsi="Arial" w:cs="Arial"/>
          <w:b/>
          <w:bCs/>
        </w:rPr>
        <w:t>.</w:t>
      </w:r>
    </w:p>
    <w:p w14:paraId="25200389" w14:textId="77777777" w:rsidR="00746133" w:rsidRDefault="00746133" w:rsidP="009045E6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1B650616" w14:textId="2A10C436" w:rsidR="009920E5" w:rsidRDefault="00746133" w:rsidP="009045E6">
      <w:pPr>
        <w:spacing w:after="0" w:line="240" w:lineRule="auto"/>
        <w:jc w:val="both"/>
        <w:rPr>
          <w:rFonts w:ascii="Arial" w:eastAsia="Calibri" w:hAnsi="Arial" w:cs="Arial"/>
        </w:rPr>
      </w:pPr>
      <w:r w:rsidRPr="00746133">
        <w:rPr>
          <w:rFonts w:ascii="Arial" w:eastAsia="Calibri" w:hAnsi="Arial" w:cs="Arial"/>
        </w:rPr>
        <w:t xml:space="preserve">Za předpokladu pozitivního vývoje veřejných financí </w:t>
      </w:r>
      <w:r>
        <w:rPr>
          <w:rFonts w:ascii="Arial" w:eastAsia="Calibri" w:hAnsi="Arial" w:cs="Arial"/>
        </w:rPr>
        <w:t>m</w:t>
      </w:r>
      <w:r w:rsidRPr="00746133">
        <w:rPr>
          <w:rFonts w:ascii="Arial" w:eastAsia="Calibri" w:hAnsi="Arial" w:cs="Arial"/>
        </w:rPr>
        <w:t xml:space="preserve">ohou být tyto prostředky dále </w:t>
      </w:r>
      <w:r>
        <w:rPr>
          <w:rFonts w:ascii="Arial" w:eastAsia="Calibri" w:hAnsi="Arial" w:cs="Arial"/>
        </w:rPr>
        <w:t>na</w:t>
      </w:r>
      <w:r w:rsidRPr="00746133">
        <w:rPr>
          <w:rFonts w:ascii="Arial" w:eastAsia="Calibri" w:hAnsi="Arial" w:cs="Arial"/>
        </w:rPr>
        <w:t>výšeny.</w:t>
      </w:r>
    </w:p>
    <w:p w14:paraId="0B596B9A" w14:textId="0081A8AC" w:rsidR="00746133" w:rsidRDefault="00746133" w:rsidP="009045E6">
      <w:pPr>
        <w:spacing w:after="0" w:line="240" w:lineRule="auto"/>
        <w:jc w:val="both"/>
        <w:rPr>
          <w:rFonts w:ascii="Arial" w:eastAsia="Calibri" w:hAnsi="Arial" w:cs="Arial"/>
        </w:rPr>
      </w:pPr>
    </w:p>
    <w:p w14:paraId="6DAD2262" w14:textId="551775C4" w:rsidR="006E57CD" w:rsidRPr="00EB7026" w:rsidRDefault="006E57CD" w:rsidP="006E57CD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Aktualizace Cestovní mapy</w:t>
      </w:r>
    </w:p>
    <w:p w14:paraId="3DAE9594" w14:textId="77777777" w:rsidR="006E57CD" w:rsidRPr="009920E5" w:rsidRDefault="006E57CD" w:rsidP="004437D2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76D2F053" w14:textId="0857A58F" w:rsidR="006C327C" w:rsidRDefault="006922C2" w:rsidP="00D83B85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 návaznosti</w:t>
      </w:r>
      <w:r w:rsidR="009045E6">
        <w:rPr>
          <w:rFonts w:ascii="Arial" w:eastAsia="Calibri" w:hAnsi="Arial" w:cs="Arial"/>
        </w:rPr>
        <w:t xml:space="preserve"> na schválení předkládaného materiálu vládou ČR bude provedena </w:t>
      </w:r>
      <w:r>
        <w:rPr>
          <w:rFonts w:ascii="Arial" w:eastAsia="Calibri" w:hAnsi="Arial" w:cs="Arial"/>
        </w:rPr>
        <w:t>i</w:t>
      </w:r>
      <w:r w:rsidR="00106780" w:rsidRPr="00106780">
        <w:rPr>
          <w:rFonts w:ascii="Arial" w:eastAsia="Calibri" w:hAnsi="Arial" w:cs="Arial"/>
        </w:rPr>
        <w:t xml:space="preserve"> </w:t>
      </w:r>
      <w:r w:rsidR="00106780" w:rsidRPr="00106780">
        <w:rPr>
          <w:rFonts w:ascii="Arial" w:eastAsia="Calibri" w:hAnsi="Arial" w:cs="Arial"/>
          <w:b/>
        </w:rPr>
        <w:t>aktualizace Cestovní mapy velkých výzkumných infrastruktur</w:t>
      </w:r>
      <w:r>
        <w:rPr>
          <w:rFonts w:ascii="Arial" w:eastAsia="Calibri" w:hAnsi="Arial" w:cs="Arial"/>
          <w:b/>
        </w:rPr>
        <w:t xml:space="preserve"> </w:t>
      </w:r>
      <w:r w:rsidRPr="00106780">
        <w:rPr>
          <w:rFonts w:ascii="Arial" w:eastAsia="Calibri" w:hAnsi="Arial" w:cs="Arial"/>
          <w:b/>
        </w:rPr>
        <w:t>ČR</w:t>
      </w:r>
      <w:r w:rsidR="00106780" w:rsidRPr="00106780">
        <w:rPr>
          <w:rFonts w:ascii="Arial" w:eastAsia="Calibri" w:hAnsi="Arial" w:cs="Arial"/>
        </w:rPr>
        <w:t>. Na</w:t>
      </w:r>
      <w:r>
        <w:rPr>
          <w:rFonts w:ascii="Arial" w:eastAsia="Calibri" w:hAnsi="Arial" w:cs="Arial"/>
        </w:rPr>
        <w:t xml:space="preserve"> </w:t>
      </w:r>
      <w:r w:rsidR="00106780" w:rsidRPr="00106780">
        <w:rPr>
          <w:rFonts w:ascii="Arial" w:eastAsia="Calibri" w:hAnsi="Arial" w:cs="Arial"/>
        </w:rPr>
        <w:t xml:space="preserve">Cestovní mapě </w:t>
      </w:r>
      <w:r w:rsidR="009045E6">
        <w:rPr>
          <w:rFonts w:ascii="Arial" w:eastAsia="Calibri" w:hAnsi="Arial" w:cs="Arial"/>
        </w:rPr>
        <w:t xml:space="preserve">budou </w:t>
      </w:r>
      <w:r w:rsidR="00106780" w:rsidRPr="00106780">
        <w:rPr>
          <w:rFonts w:ascii="Arial" w:eastAsia="Calibri" w:hAnsi="Arial" w:cs="Arial"/>
        </w:rPr>
        <w:t xml:space="preserve">uvedeny výlučně </w:t>
      </w:r>
      <w:r>
        <w:rPr>
          <w:rFonts w:ascii="Arial" w:eastAsia="Calibri" w:hAnsi="Arial" w:cs="Arial"/>
        </w:rPr>
        <w:t xml:space="preserve">ty </w:t>
      </w:r>
      <w:r w:rsidR="00106780" w:rsidRPr="00106780">
        <w:rPr>
          <w:rFonts w:ascii="Arial" w:eastAsia="Calibri" w:hAnsi="Arial" w:cs="Arial"/>
        </w:rPr>
        <w:t>velké výzkumné infrastruktury, které budou mít z rozhodnutí vlády ČR zabezpečené financování z prostředků účelové podpory MŠMT do roku 202</w:t>
      </w:r>
      <w:r>
        <w:rPr>
          <w:rFonts w:ascii="Arial" w:eastAsia="Calibri" w:hAnsi="Arial" w:cs="Arial"/>
        </w:rPr>
        <w:t>6</w:t>
      </w:r>
      <w:r w:rsidR="00D83B85">
        <w:rPr>
          <w:rFonts w:ascii="Arial" w:eastAsia="Calibri" w:hAnsi="Arial" w:cs="Arial"/>
        </w:rPr>
        <w:t>.</w:t>
      </w:r>
      <w:r w:rsidR="009045E6">
        <w:rPr>
          <w:rFonts w:ascii="Arial" w:eastAsia="Calibri" w:hAnsi="Arial" w:cs="Arial"/>
        </w:rPr>
        <w:t xml:space="preserve"> </w:t>
      </w:r>
      <w:r w:rsidR="00BD1E0B">
        <w:rPr>
          <w:rFonts w:ascii="Arial" w:eastAsia="Calibri" w:hAnsi="Arial" w:cs="Arial"/>
        </w:rPr>
        <w:t>Aktualizovaná</w:t>
      </w:r>
      <w:r w:rsidR="009045E6">
        <w:rPr>
          <w:rFonts w:ascii="Arial" w:eastAsia="Calibri" w:hAnsi="Arial" w:cs="Arial"/>
        </w:rPr>
        <w:t xml:space="preserve"> Cestovní map</w:t>
      </w:r>
      <w:r w:rsidR="00BD1E0B">
        <w:rPr>
          <w:rFonts w:ascii="Arial" w:eastAsia="Calibri" w:hAnsi="Arial" w:cs="Arial"/>
        </w:rPr>
        <w:t>a</w:t>
      </w:r>
      <w:r w:rsidR="009045E6">
        <w:rPr>
          <w:rFonts w:ascii="Arial" w:eastAsia="Calibri" w:hAnsi="Arial" w:cs="Arial"/>
        </w:rPr>
        <w:t xml:space="preserve"> bude MŠMT předložena </w:t>
      </w:r>
      <w:r>
        <w:rPr>
          <w:rFonts w:ascii="Arial" w:eastAsia="Calibri" w:hAnsi="Arial" w:cs="Arial"/>
        </w:rPr>
        <w:t>pro informaci členů vlády</w:t>
      </w:r>
      <w:r w:rsidR="006A6E0C">
        <w:rPr>
          <w:rFonts w:ascii="Arial" w:eastAsia="Calibri" w:hAnsi="Arial" w:cs="Arial"/>
        </w:rPr>
        <w:t xml:space="preserve"> ČR </w:t>
      </w:r>
      <w:r w:rsidR="00E0416B">
        <w:rPr>
          <w:rFonts w:ascii="Arial" w:eastAsia="Calibri" w:hAnsi="Arial" w:cs="Arial"/>
          <w:b/>
          <w:bCs/>
        </w:rPr>
        <w:t>nejpozději d</w:t>
      </w:r>
      <w:r w:rsidR="009045E6" w:rsidRPr="00BD1E0B">
        <w:rPr>
          <w:rFonts w:ascii="Arial" w:eastAsia="Calibri" w:hAnsi="Arial" w:cs="Arial"/>
          <w:b/>
          <w:bCs/>
        </w:rPr>
        <w:t>o dne 30. června 20</w:t>
      </w:r>
      <w:r w:rsidRPr="00BD1E0B">
        <w:rPr>
          <w:rFonts w:ascii="Arial" w:eastAsia="Calibri" w:hAnsi="Arial" w:cs="Arial"/>
          <w:b/>
          <w:bCs/>
        </w:rPr>
        <w:t>23</w:t>
      </w:r>
      <w:r w:rsidR="009045E6">
        <w:rPr>
          <w:rFonts w:ascii="Arial" w:eastAsia="Calibri" w:hAnsi="Arial" w:cs="Arial"/>
        </w:rPr>
        <w:t>.</w:t>
      </w:r>
    </w:p>
    <w:p w14:paraId="25771546" w14:textId="77777777" w:rsidR="00746133" w:rsidRDefault="00746133" w:rsidP="00D83B85">
      <w:pPr>
        <w:spacing w:after="0" w:line="240" w:lineRule="auto"/>
        <w:jc w:val="both"/>
        <w:rPr>
          <w:rFonts w:ascii="Arial" w:eastAsia="Calibri" w:hAnsi="Arial" w:cs="Arial"/>
        </w:rPr>
      </w:pPr>
    </w:p>
    <w:p w14:paraId="0A1BBCED" w14:textId="595F1A9A" w:rsidR="004B43A8" w:rsidRPr="00AF0A88" w:rsidRDefault="004B43A8" w:rsidP="004B43A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caps/>
          <w:u w:val="single"/>
        </w:rPr>
      </w:pPr>
      <w:r>
        <w:rPr>
          <w:rFonts w:ascii="Arial" w:eastAsia="Calibri" w:hAnsi="Arial" w:cs="Arial"/>
          <w:b/>
          <w:caps/>
          <w:u w:val="single"/>
        </w:rPr>
        <w:t>PŘÍLOHY</w:t>
      </w:r>
    </w:p>
    <w:p w14:paraId="652B782F" w14:textId="77777777" w:rsidR="004B43A8" w:rsidRDefault="004B43A8" w:rsidP="004B43A8">
      <w:pPr>
        <w:spacing w:after="0" w:line="240" w:lineRule="auto"/>
        <w:jc w:val="both"/>
        <w:rPr>
          <w:rFonts w:ascii="Arial" w:eastAsia="Calibri" w:hAnsi="Arial" w:cs="Arial"/>
        </w:rPr>
      </w:pPr>
    </w:p>
    <w:p w14:paraId="18B87952" w14:textId="77777777" w:rsidR="00163577" w:rsidRDefault="002A0E5D" w:rsidP="000B22FA">
      <w:pPr>
        <w:spacing w:after="0" w:line="240" w:lineRule="auto"/>
        <w:jc w:val="both"/>
        <w:rPr>
          <w:rFonts w:ascii="Arial" w:eastAsia="Calibri" w:hAnsi="Arial" w:cs="Arial"/>
          <w:bCs/>
        </w:rPr>
      </w:pPr>
      <w:r w:rsidRPr="002A0E5D">
        <w:rPr>
          <w:rFonts w:ascii="Arial" w:eastAsia="Calibri" w:hAnsi="Arial" w:cs="Arial"/>
          <w:b/>
        </w:rPr>
        <w:t>Příloha č. 1</w:t>
      </w:r>
      <w:r>
        <w:rPr>
          <w:rFonts w:ascii="Arial" w:eastAsia="Calibri" w:hAnsi="Arial" w:cs="Arial"/>
          <w:bCs/>
        </w:rPr>
        <w:t xml:space="preserve"> </w:t>
      </w:r>
      <w:r w:rsidR="0054042E">
        <w:rPr>
          <w:rFonts w:ascii="Arial" w:eastAsia="Calibri" w:hAnsi="Arial" w:cs="Arial"/>
          <w:bCs/>
        </w:rPr>
        <w:t>stanovuje</w:t>
      </w:r>
      <w:r>
        <w:rPr>
          <w:rFonts w:ascii="Arial" w:eastAsia="Calibri" w:hAnsi="Arial" w:cs="Arial"/>
          <w:bCs/>
        </w:rPr>
        <w:t xml:space="preserve"> </w:t>
      </w:r>
      <w:r w:rsidR="00C63440">
        <w:rPr>
          <w:rFonts w:ascii="Arial" w:eastAsia="Calibri" w:hAnsi="Arial" w:cs="Arial"/>
          <w:bCs/>
        </w:rPr>
        <w:t>maximální možn</w:t>
      </w:r>
      <w:r w:rsidR="0054042E">
        <w:rPr>
          <w:rFonts w:ascii="Arial" w:eastAsia="Calibri" w:hAnsi="Arial" w:cs="Arial"/>
          <w:bCs/>
        </w:rPr>
        <w:t>é</w:t>
      </w:r>
      <w:r w:rsidR="00C63440">
        <w:rPr>
          <w:rFonts w:ascii="Arial" w:eastAsia="Calibri" w:hAnsi="Arial" w:cs="Arial"/>
          <w:bCs/>
        </w:rPr>
        <w:t xml:space="preserve"> výš</w:t>
      </w:r>
      <w:r w:rsidR="0054042E">
        <w:rPr>
          <w:rFonts w:ascii="Arial" w:eastAsia="Calibri" w:hAnsi="Arial" w:cs="Arial"/>
          <w:bCs/>
        </w:rPr>
        <w:t>e</w:t>
      </w:r>
      <w:r w:rsidR="00C63440">
        <w:rPr>
          <w:rFonts w:ascii="Arial" w:eastAsia="Calibri" w:hAnsi="Arial" w:cs="Arial"/>
          <w:bCs/>
        </w:rPr>
        <w:t xml:space="preserve"> </w:t>
      </w:r>
      <w:r w:rsidR="0054042E">
        <w:rPr>
          <w:rFonts w:ascii="Arial" w:eastAsia="Calibri" w:hAnsi="Arial" w:cs="Arial"/>
          <w:bCs/>
        </w:rPr>
        <w:t xml:space="preserve">účelové </w:t>
      </w:r>
      <w:r w:rsidR="000B22FA" w:rsidRPr="009920E5">
        <w:rPr>
          <w:rFonts w:ascii="Arial" w:eastAsia="Calibri" w:hAnsi="Arial" w:cs="Arial"/>
          <w:bCs/>
        </w:rPr>
        <w:t>podpory</w:t>
      </w:r>
      <w:r w:rsidR="0054042E">
        <w:rPr>
          <w:rFonts w:ascii="Arial" w:eastAsia="Calibri" w:hAnsi="Arial" w:cs="Arial"/>
          <w:bCs/>
        </w:rPr>
        <w:t xml:space="preserve"> MŠMT, o které bude moci být žádáno</w:t>
      </w:r>
      <w:r w:rsidR="000B22FA" w:rsidRPr="009920E5">
        <w:rPr>
          <w:rFonts w:ascii="Arial" w:eastAsia="Calibri" w:hAnsi="Arial" w:cs="Arial"/>
          <w:bCs/>
        </w:rPr>
        <w:t xml:space="preserve"> </w:t>
      </w:r>
      <w:r w:rsidR="001474BC">
        <w:rPr>
          <w:rFonts w:ascii="Arial" w:eastAsia="Calibri" w:hAnsi="Arial" w:cs="Arial"/>
        </w:rPr>
        <w:t xml:space="preserve">v rámci dotačního řízení </w:t>
      </w:r>
      <w:r w:rsidR="0054042E">
        <w:rPr>
          <w:rFonts w:ascii="Arial" w:eastAsia="Calibri" w:hAnsi="Arial" w:cs="Arial"/>
        </w:rPr>
        <w:t>MŠMT na úhradu provozních nákladů velkých výzkumných infrastruktur v letech 2023–2026</w:t>
      </w:r>
      <w:r>
        <w:rPr>
          <w:rFonts w:ascii="Arial" w:eastAsia="Calibri" w:hAnsi="Arial" w:cs="Arial"/>
          <w:bCs/>
        </w:rPr>
        <w:t xml:space="preserve">. </w:t>
      </w:r>
    </w:p>
    <w:p w14:paraId="0A6EE62C" w14:textId="77777777" w:rsidR="00163577" w:rsidRDefault="00163577" w:rsidP="000B22FA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636BF4F3" w14:textId="77777777" w:rsidR="00C66A54" w:rsidRDefault="00FB101A" w:rsidP="000B22FA">
      <w:pPr>
        <w:spacing w:after="0" w:line="240" w:lineRule="auto"/>
        <w:jc w:val="both"/>
        <w:rPr>
          <w:rFonts w:ascii="Arial" w:eastAsia="Calibri" w:hAnsi="Arial" w:cs="Arial"/>
          <w:bCs/>
        </w:rPr>
      </w:pPr>
      <w:r w:rsidRPr="00163577">
        <w:rPr>
          <w:rFonts w:ascii="Arial" w:eastAsia="Calibri" w:hAnsi="Arial" w:cs="Arial"/>
          <w:b/>
        </w:rPr>
        <w:t xml:space="preserve">Ke schválení </w:t>
      </w:r>
      <w:r w:rsidR="00163577">
        <w:rPr>
          <w:rFonts w:ascii="Arial" w:eastAsia="Calibri" w:hAnsi="Arial" w:cs="Arial"/>
          <w:b/>
        </w:rPr>
        <w:t>vládou ČR je MŠMT</w:t>
      </w:r>
      <w:r w:rsidRPr="00163577">
        <w:rPr>
          <w:rFonts w:ascii="Arial" w:eastAsia="Calibri" w:hAnsi="Arial" w:cs="Arial"/>
          <w:b/>
        </w:rPr>
        <w:t xml:space="preserve"> předkládá</w:t>
      </w:r>
      <w:r w:rsidR="00163577">
        <w:rPr>
          <w:rFonts w:ascii="Arial" w:eastAsia="Calibri" w:hAnsi="Arial" w:cs="Arial"/>
          <w:b/>
        </w:rPr>
        <w:t>n</w:t>
      </w:r>
      <w:r w:rsidRPr="00163577">
        <w:rPr>
          <w:rFonts w:ascii="Arial" w:eastAsia="Calibri" w:hAnsi="Arial" w:cs="Arial"/>
          <w:b/>
        </w:rPr>
        <w:t xml:space="preserve"> </w:t>
      </w:r>
      <w:r w:rsidR="00163577" w:rsidRPr="00163577">
        <w:rPr>
          <w:rFonts w:ascii="Arial" w:eastAsia="Calibri" w:hAnsi="Arial" w:cs="Arial"/>
          <w:b/>
        </w:rPr>
        <w:t xml:space="preserve">scénář </w:t>
      </w:r>
      <w:r w:rsidR="00163577">
        <w:rPr>
          <w:rFonts w:ascii="Arial" w:eastAsia="Calibri" w:hAnsi="Arial" w:cs="Arial"/>
          <w:b/>
        </w:rPr>
        <w:t>financování</w:t>
      </w:r>
      <w:r w:rsidR="00163577" w:rsidRPr="00163577">
        <w:rPr>
          <w:rFonts w:ascii="Arial" w:eastAsia="Calibri" w:hAnsi="Arial" w:cs="Arial"/>
          <w:b/>
        </w:rPr>
        <w:t xml:space="preserve"> </w:t>
      </w:r>
      <w:r w:rsidR="00163577">
        <w:rPr>
          <w:rFonts w:ascii="Arial" w:eastAsia="Calibri" w:hAnsi="Arial" w:cs="Arial"/>
          <w:b/>
        </w:rPr>
        <w:t xml:space="preserve">velkých výzkumných infrastruktur </w:t>
      </w:r>
      <w:r w:rsidR="00163577" w:rsidRPr="00163577">
        <w:rPr>
          <w:rFonts w:ascii="Arial" w:eastAsia="Calibri" w:hAnsi="Arial" w:cs="Arial"/>
          <w:b/>
        </w:rPr>
        <w:t xml:space="preserve">odpovídající výdajovým limitům, </w:t>
      </w:r>
      <w:r w:rsidR="00163577">
        <w:rPr>
          <w:rFonts w:ascii="Arial" w:eastAsia="Calibri" w:hAnsi="Arial" w:cs="Arial"/>
          <w:b/>
        </w:rPr>
        <w:t>které</w:t>
      </w:r>
      <w:r w:rsidR="00163577" w:rsidRPr="00163577">
        <w:rPr>
          <w:rFonts w:ascii="Arial" w:eastAsia="Calibri" w:hAnsi="Arial" w:cs="Arial"/>
          <w:b/>
        </w:rPr>
        <w:t xml:space="preserve"> byly stanoveny usnesením vlády ČR ze dne 26. září 2022 č. 808, kdy hodnoty tzv. krizového scénáře financování </w:t>
      </w:r>
      <w:r w:rsidR="00163577">
        <w:rPr>
          <w:rFonts w:ascii="Arial" w:eastAsia="Calibri" w:hAnsi="Arial" w:cs="Arial"/>
          <w:b/>
        </w:rPr>
        <w:t xml:space="preserve">v roce 2023 </w:t>
      </w:r>
      <w:r w:rsidR="00163577" w:rsidRPr="00163577">
        <w:rPr>
          <w:rFonts w:ascii="Arial" w:eastAsia="Calibri" w:hAnsi="Arial" w:cs="Arial"/>
          <w:b/>
        </w:rPr>
        <w:t xml:space="preserve">budou </w:t>
      </w:r>
      <w:r w:rsidR="00163577">
        <w:rPr>
          <w:rFonts w:ascii="Arial" w:eastAsia="Calibri" w:hAnsi="Arial" w:cs="Arial"/>
          <w:b/>
        </w:rPr>
        <w:t xml:space="preserve">ze strany </w:t>
      </w:r>
      <w:r w:rsidR="00163577" w:rsidRPr="00163577">
        <w:rPr>
          <w:rFonts w:ascii="Arial" w:eastAsia="Calibri" w:hAnsi="Arial" w:cs="Arial"/>
          <w:b/>
        </w:rPr>
        <w:t xml:space="preserve">MŠMT </w:t>
      </w:r>
      <w:r w:rsidR="00163577">
        <w:rPr>
          <w:rFonts w:ascii="Arial" w:eastAsia="Calibri" w:hAnsi="Arial" w:cs="Arial"/>
          <w:b/>
        </w:rPr>
        <w:t>dosaženy</w:t>
      </w:r>
      <w:r w:rsidR="00163577" w:rsidRPr="00163577">
        <w:rPr>
          <w:rFonts w:ascii="Arial" w:eastAsia="Calibri" w:hAnsi="Arial" w:cs="Arial"/>
          <w:b/>
        </w:rPr>
        <w:t xml:space="preserve"> z</w:t>
      </w:r>
      <w:r w:rsidR="00163577">
        <w:rPr>
          <w:rFonts w:ascii="Arial" w:eastAsia="Calibri" w:hAnsi="Arial" w:cs="Arial"/>
          <w:b/>
        </w:rPr>
        <w:t>a využití</w:t>
      </w:r>
      <w:r w:rsidR="00163577" w:rsidRPr="00163577">
        <w:rPr>
          <w:rFonts w:ascii="Arial" w:eastAsia="Calibri" w:hAnsi="Arial" w:cs="Arial"/>
          <w:b/>
        </w:rPr>
        <w:t> </w:t>
      </w:r>
      <w:r w:rsidR="00886785">
        <w:rPr>
          <w:rFonts w:ascii="Arial" w:eastAsia="Calibri" w:hAnsi="Arial" w:cs="Arial"/>
          <w:b/>
        </w:rPr>
        <w:t>nároků</w:t>
      </w:r>
      <w:r w:rsidR="00163577" w:rsidRPr="00163577">
        <w:rPr>
          <w:rFonts w:ascii="Arial" w:eastAsia="Calibri" w:hAnsi="Arial" w:cs="Arial"/>
          <w:b/>
        </w:rPr>
        <w:t xml:space="preserve"> </w:t>
      </w:r>
      <w:r w:rsidR="00163577">
        <w:rPr>
          <w:rFonts w:ascii="Arial" w:eastAsia="Calibri" w:hAnsi="Arial" w:cs="Arial"/>
          <w:b/>
        </w:rPr>
        <w:t xml:space="preserve">z </w:t>
      </w:r>
      <w:r w:rsidR="00163577" w:rsidRPr="00163577">
        <w:rPr>
          <w:rFonts w:ascii="Arial" w:eastAsia="Calibri" w:hAnsi="Arial" w:cs="Arial"/>
          <w:b/>
        </w:rPr>
        <w:t>nespotřebovaných nároků</w:t>
      </w:r>
      <w:r w:rsidR="00886785">
        <w:rPr>
          <w:rFonts w:ascii="Arial" w:eastAsia="Calibri" w:hAnsi="Arial" w:cs="Arial"/>
          <w:b/>
        </w:rPr>
        <w:t xml:space="preserve">. Tento scénář financování velkých výzkumných infrastruktur zachycuje </w:t>
      </w:r>
      <w:r w:rsidR="00163577" w:rsidRPr="00163577">
        <w:rPr>
          <w:rFonts w:ascii="Arial" w:eastAsia="Calibri" w:hAnsi="Arial" w:cs="Arial"/>
          <w:b/>
        </w:rPr>
        <w:t>Tabulka č. 1</w:t>
      </w:r>
      <w:r w:rsidR="00163577">
        <w:rPr>
          <w:rFonts w:ascii="Arial" w:eastAsia="Calibri" w:hAnsi="Arial" w:cs="Arial"/>
          <w:bCs/>
        </w:rPr>
        <w:t xml:space="preserve">. </w:t>
      </w:r>
    </w:p>
    <w:p w14:paraId="1B7412E2" w14:textId="77777777" w:rsidR="00C66A54" w:rsidRDefault="00C66A54" w:rsidP="000B22FA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7014DD80" w14:textId="3FA0EB6A" w:rsidR="00FB101A" w:rsidRDefault="00163577" w:rsidP="000B22FA">
      <w:pPr>
        <w:spacing w:after="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Tzv. krizový scénář financování velkých výzkumných infrastruktur je uveden v Tabulce č. 2.</w:t>
      </w:r>
    </w:p>
    <w:p w14:paraId="1ED2A574" w14:textId="77777777" w:rsidR="00CC1615" w:rsidRDefault="00CC1615" w:rsidP="000B22FA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462D9C02" w14:textId="77777777" w:rsidR="0091714E" w:rsidRDefault="002A0E5D" w:rsidP="000B22FA">
      <w:pPr>
        <w:spacing w:after="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Jelikož velké výzkumné infrastruktury neobdrží účelovou podporu </w:t>
      </w:r>
      <w:r w:rsidR="004E1B19">
        <w:rPr>
          <w:rFonts w:ascii="Arial" w:eastAsia="Calibri" w:hAnsi="Arial" w:cs="Arial"/>
          <w:bCs/>
        </w:rPr>
        <w:t>v</w:t>
      </w:r>
      <w:r>
        <w:rPr>
          <w:rFonts w:ascii="Arial" w:eastAsia="Calibri" w:hAnsi="Arial" w:cs="Arial"/>
          <w:bCs/>
        </w:rPr>
        <w:t xml:space="preserve"> optimální výši, na základě </w:t>
      </w:r>
      <w:r w:rsidRPr="002A0E5D">
        <w:rPr>
          <w:rFonts w:ascii="Arial" w:eastAsia="Calibri" w:hAnsi="Arial" w:cs="Arial"/>
          <w:bCs/>
        </w:rPr>
        <w:t xml:space="preserve">žádostí příjemců, </w:t>
      </w:r>
      <w:r>
        <w:rPr>
          <w:rFonts w:ascii="Arial" w:eastAsia="Calibri" w:hAnsi="Arial" w:cs="Arial"/>
          <w:bCs/>
        </w:rPr>
        <w:t>které</w:t>
      </w:r>
      <w:r w:rsidRPr="002A0E5D">
        <w:rPr>
          <w:rFonts w:ascii="Arial" w:eastAsia="Calibri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t xml:space="preserve">MŠMT shledá jako </w:t>
      </w:r>
      <w:r w:rsidRPr="002A0E5D">
        <w:rPr>
          <w:rFonts w:ascii="Arial" w:eastAsia="Calibri" w:hAnsi="Arial" w:cs="Arial"/>
          <w:bCs/>
        </w:rPr>
        <w:t xml:space="preserve">odůvodněné, </w:t>
      </w:r>
      <w:r>
        <w:rPr>
          <w:rFonts w:ascii="Arial" w:eastAsia="Calibri" w:hAnsi="Arial" w:cs="Arial"/>
          <w:bCs/>
        </w:rPr>
        <w:t>bude MŠMT, coby</w:t>
      </w:r>
      <w:r w:rsidRPr="002A0E5D">
        <w:rPr>
          <w:rFonts w:ascii="Arial" w:eastAsia="Calibri" w:hAnsi="Arial" w:cs="Arial"/>
          <w:bCs/>
        </w:rPr>
        <w:t xml:space="preserve"> poskytovatel, </w:t>
      </w:r>
      <w:r>
        <w:rPr>
          <w:rFonts w:ascii="Arial" w:eastAsia="Calibri" w:hAnsi="Arial" w:cs="Arial"/>
          <w:bCs/>
        </w:rPr>
        <w:t xml:space="preserve">moci </w:t>
      </w:r>
      <w:r w:rsidRPr="002A0E5D">
        <w:rPr>
          <w:rFonts w:ascii="Arial" w:eastAsia="Calibri" w:hAnsi="Arial" w:cs="Arial"/>
          <w:bCs/>
        </w:rPr>
        <w:t xml:space="preserve">v souladu s právními předpisy ČR </w:t>
      </w:r>
      <w:r>
        <w:rPr>
          <w:rFonts w:ascii="Arial" w:eastAsia="Calibri" w:hAnsi="Arial" w:cs="Arial"/>
          <w:bCs/>
        </w:rPr>
        <w:t>umožnit</w:t>
      </w:r>
      <w:r w:rsidRPr="002A0E5D">
        <w:rPr>
          <w:rFonts w:ascii="Arial" w:eastAsia="Calibri" w:hAnsi="Arial" w:cs="Arial"/>
          <w:bCs/>
        </w:rPr>
        <w:t xml:space="preserve"> příjemcům</w:t>
      </w:r>
      <w:r>
        <w:rPr>
          <w:rFonts w:ascii="Arial" w:eastAsia="Calibri" w:hAnsi="Arial" w:cs="Arial"/>
          <w:bCs/>
        </w:rPr>
        <w:t xml:space="preserve"> </w:t>
      </w:r>
      <w:r w:rsidRPr="002A0E5D">
        <w:rPr>
          <w:rFonts w:ascii="Arial" w:eastAsia="Calibri" w:hAnsi="Arial" w:cs="Arial"/>
          <w:bCs/>
        </w:rPr>
        <w:t xml:space="preserve">měnit </w:t>
      </w:r>
      <w:r w:rsidR="00886785">
        <w:rPr>
          <w:rFonts w:ascii="Arial" w:eastAsia="Calibri" w:hAnsi="Arial" w:cs="Arial"/>
          <w:bCs/>
        </w:rPr>
        <w:t xml:space="preserve">jejich </w:t>
      </w:r>
      <w:r w:rsidRPr="002A0E5D">
        <w:rPr>
          <w:rFonts w:ascii="Arial" w:eastAsia="Calibri" w:hAnsi="Arial" w:cs="Arial"/>
          <w:bCs/>
        </w:rPr>
        <w:t xml:space="preserve">časový </w:t>
      </w:r>
      <w:r w:rsidR="00792574">
        <w:rPr>
          <w:rFonts w:ascii="Arial" w:eastAsia="Calibri" w:hAnsi="Arial" w:cs="Arial"/>
          <w:bCs/>
        </w:rPr>
        <w:t>plán</w:t>
      </w:r>
      <w:r w:rsidRPr="002A0E5D">
        <w:rPr>
          <w:rFonts w:ascii="Arial" w:eastAsia="Calibri" w:hAnsi="Arial" w:cs="Arial"/>
          <w:bCs/>
        </w:rPr>
        <w:t xml:space="preserve"> čerpání </w:t>
      </w:r>
      <w:r w:rsidR="004E1B19">
        <w:rPr>
          <w:rFonts w:ascii="Arial" w:eastAsia="Calibri" w:hAnsi="Arial" w:cs="Arial"/>
          <w:bCs/>
        </w:rPr>
        <w:t>dotace</w:t>
      </w:r>
      <w:r>
        <w:rPr>
          <w:rFonts w:ascii="Arial" w:eastAsia="Calibri" w:hAnsi="Arial" w:cs="Arial"/>
          <w:bCs/>
        </w:rPr>
        <w:t xml:space="preserve"> </w:t>
      </w:r>
      <w:r w:rsidRPr="002A0E5D">
        <w:rPr>
          <w:rFonts w:ascii="Arial" w:eastAsia="Calibri" w:hAnsi="Arial" w:cs="Arial"/>
          <w:bCs/>
        </w:rPr>
        <w:t>uveden</w:t>
      </w:r>
      <w:r w:rsidR="001474BC">
        <w:rPr>
          <w:rFonts w:ascii="Arial" w:eastAsia="Calibri" w:hAnsi="Arial" w:cs="Arial"/>
          <w:bCs/>
        </w:rPr>
        <w:t>ý</w:t>
      </w:r>
      <w:r w:rsidRPr="002A0E5D">
        <w:rPr>
          <w:rFonts w:ascii="Arial" w:eastAsia="Calibri" w:hAnsi="Arial" w:cs="Arial"/>
          <w:bCs/>
        </w:rPr>
        <w:t xml:space="preserve"> v příloze č.</w:t>
      </w:r>
      <w:r w:rsidR="004E1B19">
        <w:rPr>
          <w:rFonts w:ascii="Arial" w:eastAsia="Calibri" w:hAnsi="Arial" w:cs="Arial"/>
          <w:bCs/>
        </w:rPr>
        <w:t xml:space="preserve"> 1</w:t>
      </w:r>
      <w:r w:rsidRPr="002A0E5D">
        <w:rPr>
          <w:rFonts w:ascii="Arial" w:eastAsia="Calibri" w:hAnsi="Arial" w:cs="Arial"/>
          <w:bCs/>
        </w:rPr>
        <w:t>.</w:t>
      </w:r>
    </w:p>
    <w:p w14:paraId="0DA289AD" w14:textId="77777777" w:rsidR="0091714E" w:rsidRDefault="0091714E" w:rsidP="000B22FA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0D203DD2" w14:textId="5EC6D9E8" w:rsidR="004E1B19" w:rsidRDefault="002A0E5D" w:rsidP="000B22FA">
      <w:pPr>
        <w:spacing w:after="0" w:line="240" w:lineRule="auto"/>
        <w:jc w:val="both"/>
        <w:rPr>
          <w:rFonts w:ascii="Arial" w:eastAsia="Calibri" w:hAnsi="Arial" w:cs="Arial"/>
          <w:bCs/>
        </w:rPr>
      </w:pPr>
      <w:r w:rsidRPr="004E1B19">
        <w:rPr>
          <w:rFonts w:ascii="Arial" w:eastAsia="Calibri" w:hAnsi="Arial" w:cs="Arial"/>
          <w:b/>
        </w:rPr>
        <w:t>Příloha č. 2</w:t>
      </w:r>
      <w:r>
        <w:rPr>
          <w:rFonts w:ascii="Arial" w:eastAsia="Calibri" w:hAnsi="Arial" w:cs="Arial"/>
          <w:bCs/>
        </w:rPr>
        <w:t xml:space="preserve"> obsahuje</w:t>
      </w:r>
      <w:r w:rsidR="000B22FA" w:rsidRPr="009920E5">
        <w:rPr>
          <w:rFonts w:ascii="Arial" w:eastAsia="Calibri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t>b</w:t>
      </w:r>
      <w:r w:rsidR="000B22FA" w:rsidRPr="009920E5">
        <w:rPr>
          <w:rFonts w:ascii="Arial" w:eastAsia="Calibri" w:hAnsi="Arial" w:cs="Arial"/>
          <w:bCs/>
        </w:rPr>
        <w:t>ližší popisy jednotlivých velkých výzkumných infrastruktur</w:t>
      </w:r>
      <w:r w:rsidR="004E1B19">
        <w:rPr>
          <w:rFonts w:ascii="Arial" w:eastAsia="Calibri" w:hAnsi="Arial" w:cs="Arial"/>
          <w:bCs/>
        </w:rPr>
        <w:t>, co se týče jejich expertízy a socioekonomických přín</w:t>
      </w:r>
      <w:r w:rsidR="00792574">
        <w:rPr>
          <w:rFonts w:ascii="Arial" w:eastAsia="Calibri" w:hAnsi="Arial" w:cs="Arial"/>
          <w:bCs/>
        </w:rPr>
        <w:t>o</w:t>
      </w:r>
      <w:r w:rsidR="004E1B19">
        <w:rPr>
          <w:rFonts w:ascii="Arial" w:eastAsia="Calibri" w:hAnsi="Arial" w:cs="Arial"/>
          <w:bCs/>
        </w:rPr>
        <w:t>sů a dopadů.</w:t>
      </w:r>
      <w:r w:rsidR="000B22FA">
        <w:rPr>
          <w:rFonts w:ascii="Arial" w:eastAsia="Calibri" w:hAnsi="Arial" w:cs="Arial"/>
          <w:bCs/>
        </w:rPr>
        <w:t xml:space="preserve"> </w:t>
      </w:r>
      <w:r w:rsidR="004E1B19">
        <w:rPr>
          <w:rFonts w:ascii="Arial" w:eastAsia="Calibri" w:hAnsi="Arial" w:cs="Arial"/>
          <w:bCs/>
        </w:rPr>
        <w:t>Podrobné</w:t>
      </w:r>
      <w:r w:rsidR="000B22FA">
        <w:rPr>
          <w:rFonts w:ascii="Arial" w:eastAsia="Calibri" w:hAnsi="Arial" w:cs="Arial"/>
          <w:bCs/>
        </w:rPr>
        <w:t xml:space="preserve"> popisy budou v potřebné úrovni detailu součástí právních aktů o poskytnutí účelové podpory</w:t>
      </w:r>
      <w:r w:rsidR="004E1B19">
        <w:rPr>
          <w:rFonts w:ascii="Arial" w:eastAsia="Calibri" w:hAnsi="Arial" w:cs="Arial"/>
          <w:bCs/>
        </w:rPr>
        <w:t xml:space="preserve"> sjedn</w:t>
      </w:r>
      <w:r w:rsidR="00792574">
        <w:rPr>
          <w:rFonts w:ascii="Arial" w:eastAsia="Calibri" w:hAnsi="Arial" w:cs="Arial"/>
          <w:bCs/>
        </w:rPr>
        <w:t>áva</w:t>
      </w:r>
      <w:r w:rsidR="004E1B19">
        <w:rPr>
          <w:rFonts w:ascii="Arial" w:eastAsia="Calibri" w:hAnsi="Arial" w:cs="Arial"/>
          <w:bCs/>
        </w:rPr>
        <w:t>ných mezi MŠMT</w:t>
      </w:r>
      <w:r w:rsidR="00792574">
        <w:rPr>
          <w:rFonts w:ascii="Arial" w:eastAsia="Calibri" w:hAnsi="Arial" w:cs="Arial"/>
          <w:bCs/>
        </w:rPr>
        <w:t>,</w:t>
      </w:r>
      <w:r w:rsidR="004E1B19">
        <w:rPr>
          <w:rFonts w:ascii="Arial" w:eastAsia="Calibri" w:hAnsi="Arial" w:cs="Arial"/>
          <w:bCs/>
        </w:rPr>
        <w:t xml:space="preserve"> </w:t>
      </w:r>
      <w:r w:rsidR="00792574">
        <w:rPr>
          <w:rFonts w:ascii="Arial" w:eastAsia="Calibri" w:hAnsi="Arial" w:cs="Arial"/>
          <w:bCs/>
        </w:rPr>
        <w:t>coby</w:t>
      </w:r>
      <w:r w:rsidR="004E1B19">
        <w:rPr>
          <w:rFonts w:ascii="Arial" w:eastAsia="Calibri" w:hAnsi="Arial" w:cs="Arial"/>
          <w:bCs/>
        </w:rPr>
        <w:t xml:space="preserve"> poskytovatele</w:t>
      </w:r>
      <w:r w:rsidR="00792574">
        <w:rPr>
          <w:rFonts w:ascii="Arial" w:eastAsia="Calibri" w:hAnsi="Arial" w:cs="Arial"/>
          <w:bCs/>
        </w:rPr>
        <w:t>m,</w:t>
      </w:r>
      <w:r w:rsidR="004E1B19">
        <w:rPr>
          <w:rFonts w:ascii="Arial" w:eastAsia="Calibri" w:hAnsi="Arial" w:cs="Arial"/>
          <w:bCs/>
        </w:rPr>
        <w:t xml:space="preserve"> a příjemci</w:t>
      </w:r>
      <w:r w:rsidR="004B43A8">
        <w:rPr>
          <w:rFonts w:ascii="Arial" w:eastAsia="Calibri" w:hAnsi="Arial" w:cs="Arial"/>
          <w:bCs/>
        </w:rPr>
        <w:t xml:space="preserve"> podpory</w:t>
      </w:r>
      <w:r w:rsidR="000B22FA">
        <w:rPr>
          <w:rFonts w:ascii="Arial" w:eastAsia="Calibri" w:hAnsi="Arial" w:cs="Arial"/>
          <w:bCs/>
        </w:rPr>
        <w:t>.</w:t>
      </w:r>
    </w:p>
    <w:p w14:paraId="222BF289" w14:textId="77777777" w:rsidR="00886785" w:rsidRDefault="00886785" w:rsidP="000B22FA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2F1EFC1D" w14:textId="1D40F881" w:rsidR="000B22FA" w:rsidRDefault="0054042E" w:rsidP="00D83B85">
      <w:pPr>
        <w:spacing w:after="0" w:line="240" w:lineRule="auto"/>
        <w:jc w:val="both"/>
        <w:rPr>
          <w:rFonts w:ascii="Arial" w:eastAsia="Calibri" w:hAnsi="Arial" w:cs="Arial"/>
        </w:rPr>
      </w:pPr>
      <w:r w:rsidRPr="004E1B19">
        <w:rPr>
          <w:rFonts w:ascii="Arial" w:eastAsia="Calibri" w:hAnsi="Arial" w:cs="Arial"/>
          <w:b/>
        </w:rPr>
        <w:t>Příloha č. 3</w:t>
      </w:r>
      <w:r>
        <w:rPr>
          <w:rFonts w:ascii="Arial" w:eastAsia="Calibri" w:hAnsi="Arial" w:cs="Arial"/>
          <w:bCs/>
        </w:rPr>
        <w:t xml:space="preserve"> stanovuje maximální možné výše podpory, o které bude moci být žádáno v rámci specificky dedikovaných </w:t>
      </w:r>
      <w:r w:rsidRPr="0034057D">
        <w:rPr>
          <w:rFonts w:ascii="Arial" w:eastAsia="Calibri" w:hAnsi="Arial" w:cs="Arial"/>
        </w:rPr>
        <w:t xml:space="preserve">výzev </w:t>
      </w:r>
      <w:r>
        <w:rPr>
          <w:rFonts w:ascii="Arial" w:eastAsia="Calibri" w:hAnsi="Arial" w:cs="Arial"/>
        </w:rPr>
        <w:t xml:space="preserve">OP JAK </w:t>
      </w:r>
      <w:r w:rsidRPr="0034057D">
        <w:rPr>
          <w:rFonts w:ascii="Arial" w:eastAsia="Calibri" w:hAnsi="Arial" w:cs="Arial"/>
        </w:rPr>
        <w:t>na podporu investičního rozvoje velkých výzkumných infrastruktur</w:t>
      </w:r>
      <w:r>
        <w:rPr>
          <w:rFonts w:ascii="Arial" w:eastAsia="Calibri" w:hAnsi="Arial" w:cs="Arial"/>
        </w:rPr>
        <w:t xml:space="preserve"> </w:t>
      </w:r>
      <w:r w:rsidRPr="0034057D">
        <w:rPr>
          <w:rFonts w:ascii="Arial" w:eastAsia="Calibri" w:hAnsi="Arial" w:cs="Arial"/>
        </w:rPr>
        <w:t>v letech 2023</w:t>
      </w:r>
      <w:r>
        <w:rPr>
          <w:rFonts w:ascii="Arial" w:eastAsia="Calibri" w:hAnsi="Arial" w:cs="Arial"/>
        </w:rPr>
        <w:t>–</w:t>
      </w:r>
      <w:r w:rsidRPr="0034057D">
        <w:rPr>
          <w:rFonts w:ascii="Arial" w:eastAsia="Calibri" w:hAnsi="Arial" w:cs="Arial"/>
        </w:rPr>
        <w:t>2026</w:t>
      </w:r>
      <w:r>
        <w:rPr>
          <w:rFonts w:ascii="Arial" w:eastAsia="Calibri" w:hAnsi="Arial" w:cs="Arial"/>
        </w:rPr>
        <w:t xml:space="preserve">. </w:t>
      </w:r>
      <w:r w:rsidRPr="00696842">
        <w:rPr>
          <w:rFonts w:ascii="Arial" w:eastAsia="Calibri" w:hAnsi="Arial" w:cs="Arial"/>
        </w:rPr>
        <w:t xml:space="preserve">Maximální výše investičních nákladů jednotlivých </w:t>
      </w:r>
      <w:r>
        <w:rPr>
          <w:rFonts w:ascii="Arial" w:eastAsia="Calibri" w:hAnsi="Arial" w:cs="Arial"/>
        </w:rPr>
        <w:t xml:space="preserve">velkých </w:t>
      </w:r>
      <w:r w:rsidRPr="00696842">
        <w:rPr>
          <w:rFonts w:ascii="Arial" w:eastAsia="Calibri" w:hAnsi="Arial" w:cs="Arial"/>
        </w:rPr>
        <w:t xml:space="preserve">výzkumných infrastruktur, o </w:t>
      </w:r>
      <w:r>
        <w:rPr>
          <w:rFonts w:ascii="Arial" w:eastAsia="Calibri" w:hAnsi="Arial" w:cs="Arial"/>
        </w:rPr>
        <w:t>něž</w:t>
      </w:r>
      <w:r w:rsidRPr="00696842">
        <w:rPr>
          <w:rFonts w:ascii="Arial" w:eastAsia="Calibri" w:hAnsi="Arial" w:cs="Arial"/>
        </w:rPr>
        <w:t xml:space="preserve"> budou moci žádat z OP JAK, bud</w:t>
      </w:r>
      <w:r>
        <w:rPr>
          <w:rFonts w:ascii="Arial" w:eastAsia="Calibri" w:hAnsi="Arial" w:cs="Arial"/>
        </w:rPr>
        <w:t>ou</w:t>
      </w:r>
      <w:r w:rsidRPr="00696842">
        <w:rPr>
          <w:rFonts w:ascii="Arial" w:eastAsia="Calibri" w:hAnsi="Arial" w:cs="Arial"/>
        </w:rPr>
        <w:t xml:space="preserve"> blíže vymezen</w:t>
      </w:r>
      <w:r>
        <w:rPr>
          <w:rFonts w:ascii="Arial" w:eastAsia="Calibri" w:hAnsi="Arial" w:cs="Arial"/>
        </w:rPr>
        <w:t>y ze strany</w:t>
      </w:r>
      <w:r w:rsidRPr="00696842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Řídicího orgánu</w:t>
      </w:r>
      <w:r w:rsidRPr="00696842">
        <w:rPr>
          <w:rFonts w:ascii="Arial" w:eastAsia="Calibri" w:hAnsi="Arial" w:cs="Arial"/>
        </w:rPr>
        <w:t xml:space="preserve"> OP JAK ve </w:t>
      </w:r>
      <w:r w:rsidR="002019A4">
        <w:rPr>
          <w:rFonts w:ascii="Arial" w:eastAsia="Calibri" w:hAnsi="Arial" w:cs="Arial"/>
        </w:rPr>
        <w:t xml:space="preserve">věcně příslušných </w:t>
      </w:r>
      <w:r w:rsidRPr="00696842">
        <w:rPr>
          <w:rFonts w:ascii="Arial" w:eastAsia="Calibri" w:hAnsi="Arial" w:cs="Arial"/>
        </w:rPr>
        <w:t>výzv</w:t>
      </w:r>
      <w:r>
        <w:rPr>
          <w:rFonts w:ascii="Arial" w:eastAsia="Calibri" w:hAnsi="Arial" w:cs="Arial"/>
        </w:rPr>
        <w:t>ách</w:t>
      </w:r>
      <w:r w:rsidRPr="00696842">
        <w:rPr>
          <w:rFonts w:ascii="Arial" w:eastAsia="Calibri" w:hAnsi="Arial" w:cs="Arial"/>
        </w:rPr>
        <w:t xml:space="preserve"> a</w:t>
      </w:r>
      <w:r w:rsidR="002019A4">
        <w:rPr>
          <w:rFonts w:ascii="Arial" w:eastAsia="Calibri" w:hAnsi="Arial" w:cs="Arial"/>
        </w:rPr>
        <w:t xml:space="preserve"> v</w:t>
      </w:r>
      <w:r w:rsidRPr="00696842">
        <w:rPr>
          <w:rFonts w:ascii="Arial" w:eastAsia="Calibri" w:hAnsi="Arial" w:cs="Arial"/>
        </w:rPr>
        <w:t xml:space="preserve"> navazující</w:t>
      </w:r>
      <w:r>
        <w:rPr>
          <w:rFonts w:ascii="Arial" w:eastAsia="Calibri" w:hAnsi="Arial" w:cs="Arial"/>
        </w:rPr>
        <w:t>ch</w:t>
      </w:r>
      <w:r w:rsidRPr="00696842">
        <w:rPr>
          <w:rFonts w:ascii="Arial" w:eastAsia="Calibri" w:hAnsi="Arial" w:cs="Arial"/>
        </w:rPr>
        <w:t xml:space="preserve"> dokumentac</w:t>
      </w:r>
      <w:r>
        <w:rPr>
          <w:rFonts w:ascii="Arial" w:eastAsia="Calibri" w:hAnsi="Arial" w:cs="Arial"/>
        </w:rPr>
        <w:t>ích, a to s ohledem na finanční možnosti OP JAK</w:t>
      </w:r>
      <w:r w:rsidRPr="00696842">
        <w:rPr>
          <w:rFonts w:ascii="Arial" w:eastAsia="Calibri" w:hAnsi="Arial" w:cs="Arial"/>
        </w:rPr>
        <w:t>.</w:t>
      </w:r>
    </w:p>
    <w:p w14:paraId="302DF0F9" w14:textId="6D825533" w:rsidR="00792574" w:rsidRDefault="00792574" w:rsidP="00D83B85">
      <w:pPr>
        <w:spacing w:after="0" w:line="240" w:lineRule="auto"/>
        <w:jc w:val="both"/>
        <w:rPr>
          <w:rFonts w:ascii="Arial" w:eastAsia="Calibri" w:hAnsi="Arial" w:cs="Arial"/>
        </w:rPr>
      </w:pPr>
    </w:p>
    <w:p w14:paraId="3C0B7013" w14:textId="67B4D8B9" w:rsidR="00792574" w:rsidRDefault="00792574" w:rsidP="00D83B85">
      <w:pPr>
        <w:spacing w:after="0" w:line="240" w:lineRule="auto"/>
        <w:jc w:val="both"/>
        <w:rPr>
          <w:rFonts w:ascii="Arial" w:eastAsia="Calibri" w:hAnsi="Arial" w:cs="Arial"/>
        </w:rPr>
      </w:pPr>
      <w:r w:rsidRPr="00792574">
        <w:rPr>
          <w:rFonts w:ascii="Arial" w:eastAsia="Calibri" w:hAnsi="Arial" w:cs="Arial"/>
          <w:b/>
          <w:bCs/>
        </w:rPr>
        <w:t>Příloha č. 4</w:t>
      </w:r>
      <w:r>
        <w:rPr>
          <w:rFonts w:ascii="Arial" w:eastAsia="Calibri" w:hAnsi="Arial" w:cs="Arial"/>
        </w:rPr>
        <w:t xml:space="preserve"> </w:t>
      </w:r>
      <w:r w:rsidR="005D4B38">
        <w:rPr>
          <w:rFonts w:ascii="Arial" w:eastAsia="Calibri" w:hAnsi="Arial" w:cs="Arial"/>
        </w:rPr>
        <w:t>informuje</w:t>
      </w:r>
      <w:r w:rsidR="00247BD6">
        <w:rPr>
          <w:rFonts w:ascii="Arial" w:eastAsia="Calibri" w:hAnsi="Arial" w:cs="Arial"/>
        </w:rPr>
        <w:t xml:space="preserve"> o</w:t>
      </w:r>
      <w:r>
        <w:rPr>
          <w:rFonts w:ascii="Arial" w:eastAsia="Calibri" w:hAnsi="Arial" w:cs="Arial"/>
        </w:rPr>
        <w:t xml:space="preserve"> personální</w:t>
      </w:r>
      <w:r w:rsidR="00247BD6">
        <w:rPr>
          <w:rFonts w:ascii="Arial" w:eastAsia="Calibri" w:hAnsi="Arial" w:cs="Arial"/>
        </w:rPr>
        <w:t>m</w:t>
      </w:r>
      <w:r>
        <w:rPr>
          <w:rFonts w:ascii="Arial" w:eastAsia="Calibri" w:hAnsi="Arial" w:cs="Arial"/>
        </w:rPr>
        <w:t xml:space="preserve"> složení mezinárodní hodnotící komise, </w:t>
      </w:r>
      <w:r w:rsidR="00247BD6">
        <w:rPr>
          <w:rFonts w:ascii="Arial" w:eastAsia="Calibri" w:hAnsi="Arial" w:cs="Arial"/>
        </w:rPr>
        <w:t>a to včetně jejího členění na dílčí vědně-oborové panely, jež</w:t>
      </w:r>
      <w:r>
        <w:rPr>
          <w:rFonts w:ascii="Arial" w:eastAsia="Calibri" w:hAnsi="Arial" w:cs="Arial"/>
        </w:rPr>
        <w:t xml:space="preserve"> </w:t>
      </w:r>
      <w:r w:rsidR="00247BD6">
        <w:rPr>
          <w:rFonts w:ascii="Arial" w:eastAsia="Calibri" w:hAnsi="Arial" w:cs="Arial"/>
        </w:rPr>
        <w:t xml:space="preserve">v </w:t>
      </w:r>
      <w:r>
        <w:rPr>
          <w:rFonts w:ascii="Arial" w:eastAsia="Calibri" w:hAnsi="Arial" w:cs="Arial"/>
        </w:rPr>
        <w:t>ro</w:t>
      </w:r>
      <w:r w:rsidR="00247BD6">
        <w:rPr>
          <w:rFonts w:ascii="Arial" w:eastAsia="Calibri" w:hAnsi="Arial" w:cs="Arial"/>
        </w:rPr>
        <w:t>ce</w:t>
      </w:r>
      <w:r>
        <w:rPr>
          <w:rFonts w:ascii="Arial" w:eastAsia="Calibri" w:hAnsi="Arial" w:cs="Arial"/>
        </w:rPr>
        <w:t xml:space="preserve"> 2021 provedla evaluaci velký</w:t>
      </w:r>
      <w:r w:rsidR="00247BD6">
        <w:rPr>
          <w:rFonts w:ascii="Arial" w:eastAsia="Calibri" w:hAnsi="Arial" w:cs="Arial"/>
        </w:rPr>
        <w:t>c</w:t>
      </w:r>
      <w:r>
        <w:rPr>
          <w:rFonts w:ascii="Arial" w:eastAsia="Calibri" w:hAnsi="Arial" w:cs="Arial"/>
        </w:rPr>
        <w:t>h výzkumných infrastruktur a jejich nových návrhů.</w:t>
      </w:r>
    </w:p>
    <w:p w14:paraId="1FEB159D" w14:textId="77777777" w:rsidR="00D43721" w:rsidRDefault="00D43721" w:rsidP="00D83B85">
      <w:pPr>
        <w:spacing w:after="0" w:line="240" w:lineRule="auto"/>
        <w:jc w:val="both"/>
        <w:rPr>
          <w:rFonts w:ascii="Arial" w:eastAsia="Calibri" w:hAnsi="Arial" w:cs="Arial"/>
        </w:rPr>
      </w:pPr>
    </w:p>
    <w:p w14:paraId="0D2C74BE" w14:textId="0511E0A1" w:rsidR="00D43721" w:rsidRDefault="00D43721" w:rsidP="00D83B85">
      <w:pPr>
        <w:spacing w:after="0" w:line="240" w:lineRule="auto"/>
        <w:jc w:val="both"/>
        <w:rPr>
          <w:rFonts w:ascii="Arial" w:eastAsia="Calibri" w:hAnsi="Arial" w:cs="Arial"/>
        </w:rPr>
      </w:pPr>
      <w:r w:rsidRPr="00D43721">
        <w:rPr>
          <w:rFonts w:ascii="Arial" w:eastAsia="Calibri" w:hAnsi="Arial" w:cs="Arial"/>
          <w:b/>
          <w:bCs/>
        </w:rPr>
        <w:t>Příloha č. 5</w:t>
      </w:r>
      <w:r>
        <w:rPr>
          <w:rFonts w:ascii="Arial" w:eastAsia="Calibri" w:hAnsi="Arial" w:cs="Arial"/>
        </w:rPr>
        <w:t xml:space="preserve"> uvádí rozpočtové potřeby velkých výzkumných infrastruktur a návrhů jejich nových projektů, jak byly předloženy do mezinárodního hodnocení v roce 2021. Vzhledem k tomu, že tyto rozpočtové potřeby byly definovány již v roce 2020 při přípravě dokumentac</w:t>
      </w:r>
      <w:r w:rsidR="00722702">
        <w:rPr>
          <w:rFonts w:ascii="Arial" w:eastAsia="Calibri" w:hAnsi="Arial" w:cs="Arial"/>
        </w:rPr>
        <w:t>í</w:t>
      </w:r>
      <w:r>
        <w:rPr>
          <w:rFonts w:ascii="Arial" w:eastAsia="Calibri" w:hAnsi="Arial" w:cs="Arial"/>
        </w:rPr>
        <w:t xml:space="preserve"> </w:t>
      </w:r>
      <w:r w:rsidR="00722702">
        <w:rPr>
          <w:rFonts w:ascii="Arial" w:eastAsia="Calibri" w:hAnsi="Arial" w:cs="Arial"/>
        </w:rPr>
        <w:t>pro</w:t>
      </w:r>
      <w:r>
        <w:rPr>
          <w:rFonts w:ascii="Arial" w:eastAsia="Calibri" w:hAnsi="Arial" w:cs="Arial"/>
        </w:rPr>
        <w:t> evaluaci, nepostihuj</w:t>
      </w:r>
      <w:r w:rsidR="00273FA7">
        <w:rPr>
          <w:rFonts w:ascii="Arial" w:eastAsia="Calibri" w:hAnsi="Arial" w:cs="Arial"/>
        </w:rPr>
        <w:t>í</w:t>
      </w:r>
      <w:r>
        <w:rPr>
          <w:rFonts w:ascii="Arial" w:eastAsia="Calibri" w:hAnsi="Arial" w:cs="Arial"/>
        </w:rPr>
        <w:t xml:space="preserve"> </w:t>
      </w:r>
      <w:r w:rsidR="00273FA7">
        <w:rPr>
          <w:rFonts w:ascii="Arial" w:eastAsia="Calibri" w:hAnsi="Arial" w:cs="Arial"/>
        </w:rPr>
        <w:t>p</w:t>
      </w:r>
      <w:r w:rsidR="00722702">
        <w:rPr>
          <w:rFonts w:ascii="Arial" w:eastAsia="Calibri" w:hAnsi="Arial" w:cs="Arial"/>
        </w:rPr>
        <w:t>oslední inflační vlivy vyvolané dopady pandemie koronaviru SARS-CoV-2</w:t>
      </w:r>
      <w:r w:rsidR="00273FA7">
        <w:rPr>
          <w:rFonts w:ascii="Arial" w:eastAsia="Calibri" w:hAnsi="Arial" w:cs="Arial"/>
        </w:rPr>
        <w:t>, resp.</w:t>
      </w:r>
      <w:r w:rsidR="00722702">
        <w:rPr>
          <w:rFonts w:ascii="Arial" w:eastAsia="Calibri" w:hAnsi="Arial" w:cs="Arial"/>
        </w:rPr>
        <w:t xml:space="preserve"> onemocnění Covid-19</w:t>
      </w:r>
      <w:r w:rsidR="00273FA7">
        <w:rPr>
          <w:rFonts w:ascii="Arial" w:eastAsia="Calibri" w:hAnsi="Arial" w:cs="Arial"/>
        </w:rPr>
        <w:t>,</w:t>
      </w:r>
      <w:r w:rsidR="00722702">
        <w:rPr>
          <w:rFonts w:ascii="Arial" w:eastAsia="Calibri" w:hAnsi="Arial" w:cs="Arial"/>
        </w:rPr>
        <w:t xml:space="preserve"> a ruskou vojenskou agresí vůči Ukrajině, potažmo energetickou krizí.</w:t>
      </w:r>
    </w:p>
    <w:p w14:paraId="19E3425A" w14:textId="3E754392" w:rsidR="00A147A3" w:rsidRDefault="00A147A3" w:rsidP="00D83B85">
      <w:pPr>
        <w:spacing w:after="0" w:line="240" w:lineRule="auto"/>
        <w:jc w:val="both"/>
        <w:rPr>
          <w:rFonts w:ascii="Arial" w:eastAsia="Calibri" w:hAnsi="Arial" w:cs="Arial"/>
        </w:rPr>
      </w:pPr>
    </w:p>
    <w:p w14:paraId="33AE1FD1" w14:textId="3DEC4032" w:rsidR="00A147A3" w:rsidRDefault="00A147A3" w:rsidP="00D83B85">
      <w:pPr>
        <w:spacing w:after="0" w:line="240" w:lineRule="auto"/>
        <w:jc w:val="both"/>
        <w:rPr>
          <w:rFonts w:ascii="Arial" w:eastAsia="Calibri" w:hAnsi="Arial" w:cs="Arial"/>
        </w:rPr>
      </w:pPr>
      <w:r w:rsidRPr="00A147A3">
        <w:rPr>
          <w:rFonts w:ascii="Arial" w:eastAsia="Calibri" w:hAnsi="Arial" w:cs="Arial"/>
          <w:b/>
          <w:bCs/>
        </w:rPr>
        <w:t>Příloha č. 6</w:t>
      </w:r>
      <w:r>
        <w:rPr>
          <w:rFonts w:ascii="Arial" w:eastAsia="Calibri" w:hAnsi="Arial" w:cs="Arial"/>
        </w:rPr>
        <w:t xml:space="preserve"> chronologicky rekapituluje financování velkých výzkumných infrastruktur ze zdrojů účelové podpory MŠMT od roku 2010, kdy bylo poskytování této podpory zahájeno.</w:t>
      </w:r>
    </w:p>
    <w:sectPr w:rsidR="00A147A3" w:rsidSect="009A7E4A">
      <w:footerReference w:type="default" r:id="rId1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8184" w14:textId="77777777" w:rsidR="008133C4" w:rsidRDefault="008133C4" w:rsidP="001572C8">
      <w:pPr>
        <w:spacing w:after="0" w:line="240" w:lineRule="auto"/>
      </w:pPr>
      <w:r>
        <w:separator/>
      </w:r>
    </w:p>
  </w:endnote>
  <w:endnote w:type="continuationSeparator" w:id="0">
    <w:p w14:paraId="6C9FF2EB" w14:textId="77777777" w:rsidR="008133C4" w:rsidRDefault="008133C4" w:rsidP="00157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33165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8EAD521" w14:textId="6767214B" w:rsidR="00D83B85" w:rsidRPr="00612079" w:rsidRDefault="00D83B85">
        <w:pPr>
          <w:pStyle w:val="Zpat"/>
          <w:jc w:val="center"/>
          <w:rPr>
            <w:rFonts w:ascii="Arial" w:hAnsi="Arial" w:cs="Arial"/>
          </w:rPr>
        </w:pPr>
        <w:r w:rsidRPr="00612079">
          <w:rPr>
            <w:rFonts w:ascii="Arial" w:hAnsi="Arial" w:cs="Arial"/>
          </w:rPr>
          <w:fldChar w:fldCharType="begin"/>
        </w:r>
        <w:r w:rsidRPr="00612079">
          <w:rPr>
            <w:rFonts w:ascii="Arial" w:hAnsi="Arial" w:cs="Arial"/>
          </w:rPr>
          <w:instrText>PAGE   \* MERGEFORMAT</w:instrText>
        </w:r>
        <w:r w:rsidRPr="00612079">
          <w:rPr>
            <w:rFonts w:ascii="Arial" w:hAnsi="Arial" w:cs="Arial"/>
          </w:rPr>
          <w:fldChar w:fldCharType="separate"/>
        </w:r>
        <w:r w:rsidR="004B2190">
          <w:rPr>
            <w:rFonts w:ascii="Arial" w:hAnsi="Arial" w:cs="Arial"/>
            <w:noProof/>
          </w:rPr>
          <w:t>1</w:t>
        </w:r>
        <w:r w:rsidRPr="00612079">
          <w:rPr>
            <w:rFonts w:ascii="Arial" w:hAnsi="Arial" w:cs="Arial"/>
          </w:rPr>
          <w:fldChar w:fldCharType="end"/>
        </w:r>
      </w:p>
    </w:sdtContent>
  </w:sdt>
  <w:p w14:paraId="7902CF48" w14:textId="77777777" w:rsidR="00D83B85" w:rsidRDefault="00D83B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47BCF" w14:textId="77777777" w:rsidR="008133C4" w:rsidRDefault="008133C4" w:rsidP="001572C8">
      <w:pPr>
        <w:spacing w:after="0" w:line="240" w:lineRule="auto"/>
      </w:pPr>
      <w:r>
        <w:separator/>
      </w:r>
    </w:p>
  </w:footnote>
  <w:footnote w:type="continuationSeparator" w:id="0">
    <w:p w14:paraId="182CB04E" w14:textId="77777777" w:rsidR="008133C4" w:rsidRDefault="008133C4" w:rsidP="001572C8">
      <w:pPr>
        <w:spacing w:after="0" w:line="240" w:lineRule="auto"/>
      </w:pPr>
      <w:r>
        <w:continuationSeparator/>
      </w:r>
    </w:p>
  </w:footnote>
  <w:footnote w:id="1">
    <w:p w14:paraId="08620972" w14:textId="318438E0" w:rsidR="00DA126C" w:rsidRPr="00737290" w:rsidRDefault="00DA126C" w:rsidP="00737290">
      <w:pPr>
        <w:pStyle w:val="Textpoznpodarou"/>
        <w:spacing w:line="240" w:lineRule="auto"/>
        <w:rPr>
          <w:rFonts w:ascii="Arial" w:hAnsi="Arial" w:cs="Arial"/>
          <w:lang w:val="cs-CZ"/>
        </w:rPr>
      </w:pPr>
      <w:r w:rsidRPr="00737290">
        <w:rPr>
          <w:rStyle w:val="Znakapoznpodarou"/>
          <w:rFonts w:ascii="Arial" w:hAnsi="Arial" w:cs="Arial"/>
          <w:lang w:val="cs-CZ"/>
        </w:rPr>
        <w:footnoteRef/>
      </w:r>
      <w:r w:rsidRPr="00737290">
        <w:rPr>
          <w:rFonts w:ascii="Arial" w:hAnsi="Arial" w:cs="Arial"/>
          <w:lang w:val="cs-CZ"/>
        </w:rPr>
        <w:t xml:space="preserve"> </w:t>
      </w:r>
      <w:r w:rsidRPr="00737290">
        <w:rPr>
          <w:rFonts w:ascii="Arial" w:hAnsi="Arial" w:cs="Arial"/>
          <w:i/>
          <w:lang w:val="cs-CZ"/>
        </w:rPr>
        <w:t>„Výzkumnou infrastrukturou“ se rozumí zařízení, zdroje a související služby, které vědecká obec využívá k provádění výzkumu v příslušných oborech, zahrnující vědecké vybavení a výzkumný materiál, zdroje založené na znalostech, například sbírky, archivy a strukturované vědecké informace, infrastruktury informačních a komunikačních technologií, například sítě GRID, počítačové a programové vybavení, komunikační prostředky, jakož i veškeré další prvky jedinečné povahy, které jsou nezbytné k provádění výzkumu. Tyto infrastruktury se mohou nacházet na jednom místě nebo mohou být „rozmístěné“ v rámci sítě (organizovaná síť zdrojů) v souladu s čl. 2 písm. a) nařízení Rady (ES) č. 723/2009 ze dne 25. června 2009 o právním rámci Společenství pro konsorcium evropské výzkumné infrastruktury (ERIC)</w:t>
      </w:r>
      <w:r w:rsidRPr="00737290">
        <w:rPr>
          <w:rFonts w:ascii="Arial" w:hAnsi="Arial" w:cs="Arial"/>
          <w:lang w:val="cs-CZ"/>
        </w:rPr>
        <w:t>.</w:t>
      </w:r>
    </w:p>
  </w:footnote>
  <w:footnote w:id="2">
    <w:p w14:paraId="51648481" w14:textId="64D414B5" w:rsidR="007914F8" w:rsidRPr="00737290" w:rsidRDefault="007914F8" w:rsidP="00737290">
      <w:pPr>
        <w:pStyle w:val="Textpoznpodarou"/>
        <w:spacing w:line="240" w:lineRule="auto"/>
        <w:rPr>
          <w:rFonts w:ascii="Arial" w:hAnsi="Arial" w:cs="Arial"/>
          <w:lang w:val="cs-CZ"/>
        </w:rPr>
      </w:pPr>
      <w:r w:rsidRPr="00737290">
        <w:rPr>
          <w:rStyle w:val="Znakapoznpodarou"/>
          <w:rFonts w:ascii="Arial" w:hAnsi="Arial" w:cs="Arial"/>
          <w:lang w:val="cs-CZ"/>
        </w:rPr>
        <w:footnoteRef/>
      </w:r>
      <w:r w:rsidRPr="00737290">
        <w:rPr>
          <w:rFonts w:ascii="Arial" w:hAnsi="Arial" w:cs="Arial"/>
          <w:lang w:val="cs-CZ"/>
        </w:rPr>
        <w:t xml:space="preserve"> Smlouva o poskytn</w:t>
      </w:r>
      <w:r w:rsidR="00732E71" w:rsidRPr="00737290">
        <w:rPr>
          <w:rFonts w:ascii="Arial" w:hAnsi="Arial" w:cs="Arial"/>
          <w:lang w:val="cs-CZ"/>
        </w:rPr>
        <w:t>ut</w:t>
      </w:r>
      <w:r w:rsidRPr="00737290">
        <w:rPr>
          <w:rFonts w:ascii="Arial" w:hAnsi="Arial" w:cs="Arial"/>
          <w:lang w:val="cs-CZ"/>
        </w:rPr>
        <w:t>í účelové podpory velk</w:t>
      </w:r>
      <w:r w:rsidR="00732E71" w:rsidRPr="00737290">
        <w:rPr>
          <w:rFonts w:ascii="Arial" w:hAnsi="Arial" w:cs="Arial"/>
          <w:lang w:val="cs-CZ"/>
        </w:rPr>
        <w:t>é</w:t>
      </w:r>
      <w:r w:rsidRPr="00737290">
        <w:rPr>
          <w:rFonts w:ascii="Arial" w:hAnsi="Arial" w:cs="Arial"/>
          <w:lang w:val="cs-CZ"/>
        </w:rPr>
        <w:t xml:space="preserve"> výzkumn</w:t>
      </w:r>
      <w:r w:rsidR="00732E71" w:rsidRPr="00737290">
        <w:rPr>
          <w:rFonts w:ascii="Arial" w:hAnsi="Arial" w:cs="Arial"/>
          <w:lang w:val="cs-CZ"/>
        </w:rPr>
        <w:t>é</w:t>
      </w:r>
      <w:r w:rsidRPr="00737290">
        <w:rPr>
          <w:rFonts w:ascii="Arial" w:hAnsi="Arial" w:cs="Arial"/>
          <w:lang w:val="cs-CZ"/>
        </w:rPr>
        <w:t xml:space="preserve"> infrastru</w:t>
      </w:r>
      <w:r w:rsidR="00732E71" w:rsidRPr="00737290">
        <w:rPr>
          <w:rFonts w:ascii="Arial" w:hAnsi="Arial" w:cs="Arial"/>
          <w:lang w:val="cs-CZ"/>
        </w:rPr>
        <w:t>ktuře</w:t>
      </w:r>
      <w:r w:rsidRPr="00737290">
        <w:rPr>
          <w:rFonts w:ascii="Arial" w:hAnsi="Arial" w:cs="Arial"/>
          <w:lang w:val="cs-CZ"/>
        </w:rPr>
        <w:t xml:space="preserve"> ELI Beamlines byla </w:t>
      </w:r>
      <w:r w:rsidR="00732E71" w:rsidRPr="00737290">
        <w:rPr>
          <w:rFonts w:ascii="Arial" w:hAnsi="Arial" w:cs="Arial"/>
          <w:lang w:val="cs-CZ"/>
        </w:rPr>
        <w:t xml:space="preserve">v roce 2021 na žádost příjemce </w:t>
      </w:r>
      <w:r w:rsidR="00783861" w:rsidRPr="00737290">
        <w:rPr>
          <w:rFonts w:ascii="Arial" w:hAnsi="Arial" w:cs="Arial"/>
          <w:lang w:val="cs-CZ"/>
        </w:rPr>
        <w:t>vypovězena a její platnost vzájemnou dohodou s poskytovatelem ukončena. Stalo se tak</w:t>
      </w:r>
      <w:r w:rsidR="00732E71" w:rsidRPr="00737290">
        <w:rPr>
          <w:rFonts w:ascii="Arial" w:hAnsi="Arial" w:cs="Arial"/>
          <w:lang w:val="cs-CZ"/>
        </w:rPr>
        <w:t xml:space="preserve"> v souvislosti s</w:t>
      </w:r>
      <w:r w:rsidR="00783861" w:rsidRPr="00737290">
        <w:rPr>
          <w:rFonts w:ascii="Arial" w:hAnsi="Arial" w:cs="Arial"/>
          <w:lang w:val="cs-CZ"/>
        </w:rPr>
        <w:t xml:space="preserve"> ustavením </w:t>
      </w:r>
      <w:r w:rsidR="00732E71" w:rsidRPr="00737290">
        <w:rPr>
          <w:rFonts w:ascii="Arial" w:hAnsi="Arial" w:cs="Arial"/>
          <w:lang w:val="cs-CZ"/>
        </w:rPr>
        <w:t xml:space="preserve">konsorcia ELI ERIC. MŠMT </w:t>
      </w:r>
      <w:r w:rsidR="00783861" w:rsidRPr="00737290">
        <w:rPr>
          <w:rFonts w:ascii="Arial" w:hAnsi="Arial" w:cs="Arial"/>
          <w:lang w:val="cs-CZ"/>
        </w:rPr>
        <w:t xml:space="preserve">tak už </w:t>
      </w:r>
      <w:r w:rsidR="00732E71" w:rsidRPr="00737290">
        <w:rPr>
          <w:rFonts w:ascii="Arial" w:hAnsi="Arial" w:cs="Arial"/>
          <w:lang w:val="cs-CZ"/>
        </w:rPr>
        <w:t xml:space="preserve">od roku 2022 nefinancuje výzkumnou infrastrukturu ELI Beamlines v rámci dotačního titulu velkých výzkumných infrastruktur, </w:t>
      </w:r>
      <w:r w:rsidR="00783861" w:rsidRPr="00737290">
        <w:rPr>
          <w:rFonts w:ascii="Arial" w:hAnsi="Arial" w:cs="Arial"/>
          <w:lang w:val="cs-CZ"/>
        </w:rPr>
        <w:t>avšak</w:t>
      </w:r>
      <w:r w:rsidR="00732E71" w:rsidRPr="00737290">
        <w:rPr>
          <w:rFonts w:ascii="Arial" w:hAnsi="Arial" w:cs="Arial"/>
          <w:lang w:val="cs-CZ"/>
        </w:rPr>
        <w:t xml:space="preserve"> za využití </w:t>
      </w:r>
      <w:r w:rsidR="00783861" w:rsidRPr="00737290">
        <w:rPr>
          <w:rFonts w:ascii="Arial" w:hAnsi="Arial" w:cs="Arial"/>
          <w:lang w:val="cs-CZ"/>
        </w:rPr>
        <w:t>prostředků</w:t>
      </w:r>
      <w:r w:rsidR="00732E71" w:rsidRPr="00737290">
        <w:rPr>
          <w:rFonts w:ascii="Arial" w:hAnsi="Arial" w:cs="Arial"/>
          <w:lang w:val="cs-CZ"/>
        </w:rPr>
        <w:t xml:space="preserve"> institucionální podpory na mezinárodní spolupráci ČR ve VaVaI,</w:t>
      </w:r>
      <w:r w:rsidR="00783861" w:rsidRPr="00737290">
        <w:rPr>
          <w:rFonts w:ascii="Arial" w:hAnsi="Arial" w:cs="Arial"/>
          <w:lang w:val="cs-CZ"/>
        </w:rPr>
        <w:t xml:space="preserve"> ze kterých hradí mandatorní členské příspěvky ČR do konsorcia ELI ERIC, provozujícího výzkumnou infrastrukturu ELI Beamlines.</w:t>
      </w:r>
      <w:r w:rsidR="00732E71" w:rsidRPr="00737290">
        <w:rPr>
          <w:rFonts w:ascii="Arial" w:hAnsi="Arial" w:cs="Arial"/>
          <w:lang w:val="cs-CZ"/>
        </w:rPr>
        <w:t xml:space="preserve"> </w:t>
      </w:r>
      <w:r w:rsidR="00783861" w:rsidRPr="00737290">
        <w:rPr>
          <w:rFonts w:ascii="Arial" w:hAnsi="Arial" w:cs="Arial"/>
          <w:lang w:val="cs-CZ"/>
        </w:rPr>
        <w:t xml:space="preserve">MŠMT tak koná mj. i </w:t>
      </w:r>
      <w:r w:rsidR="00732E71" w:rsidRPr="00737290">
        <w:rPr>
          <w:rFonts w:ascii="Arial" w:hAnsi="Arial" w:cs="Arial"/>
          <w:lang w:val="cs-CZ"/>
        </w:rPr>
        <w:t>v</w:t>
      </w:r>
      <w:r w:rsidRPr="00737290">
        <w:rPr>
          <w:rFonts w:ascii="Arial" w:hAnsi="Arial" w:cs="Arial"/>
          <w:lang w:val="cs-CZ"/>
        </w:rPr>
        <w:t xml:space="preserve"> souladu s usnesením vlády ČR ze dne 20. května 2019 č. 352, které v bodě II.3 ukládá ministru školství, mládeže a tělovýchovy „</w:t>
      </w:r>
      <w:r w:rsidRPr="00737290">
        <w:rPr>
          <w:rFonts w:ascii="Arial" w:hAnsi="Arial" w:cs="Arial"/>
          <w:i/>
          <w:iCs/>
          <w:lang w:val="cs-CZ"/>
        </w:rPr>
        <w:t>v návaznosti na ustavení mezinárodní právnické osoby ELI-ERIC, která bude řídit a financovat provozní fázi výzkumné infrastruktury ELI Beamlines, zabezpečit úhradu podílu ČR na provozních nákladech výzkumné infrastruktury ELI Beamlines formou úhrady mandatorních členských příspěvků ČR do právnické osoby ELI-ERIC v rámci výdajů institucionální podpory na mezinárodní spolupráci ČR ve výzkumu a vývoji</w:t>
      </w:r>
      <w:r w:rsidRPr="00737290">
        <w:rPr>
          <w:rFonts w:ascii="Arial" w:hAnsi="Arial" w:cs="Arial"/>
          <w:lang w:val="cs-CZ"/>
        </w:rPr>
        <w:t>.”</w:t>
      </w:r>
    </w:p>
  </w:footnote>
  <w:footnote w:id="3">
    <w:p w14:paraId="45137365" w14:textId="39B129A0" w:rsidR="00E808B3" w:rsidRPr="00737290" w:rsidRDefault="00E808B3" w:rsidP="00737290">
      <w:pPr>
        <w:pStyle w:val="Textpoznpodarou"/>
        <w:spacing w:line="240" w:lineRule="auto"/>
        <w:rPr>
          <w:rFonts w:ascii="Arial" w:hAnsi="Arial" w:cs="Arial"/>
          <w:lang w:val="cs-CZ"/>
        </w:rPr>
      </w:pPr>
      <w:r w:rsidRPr="00737290">
        <w:rPr>
          <w:rStyle w:val="Znakapoznpodarou"/>
          <w:rFonts w:ascii="Arial" w:hAnsi="Arial" w:cs="Arial"/>
          <w:lang w:val="cs-CZ"/>
        </w:rPr>
        <w:footnoteRef/>
      </w:r>
      <w:r w:rsidRPr="00737290">
        <w:rPr>
          <w:rFonts w:ascii="Arial" w:hAnsi="Arial" w:cs="Arial"/>
          <w:lang w:val="cs-CZ"/>
        </w:rPr>
        <w:t xml:space="preserve"> Aktuálně je MŠMT poskytována účelová podpora 47 projektům velkých výzkumných infrastruktur, a to na základě usnesení vlády ČR ze dne 15. června 2015 č. 482 a usnesení vlády ČR ze dne 12. prosince 2018 č. 836. V průběhu přípravy dokumentace k mezinárodnímu hodnocení došlo k integraci nynějších velkých výzkumných infrastruktur CSDA a ESS-CZ, a JHR-CZ a Reaktorů LVR-15 a LR-0 do společných konsorciálních projektů. Do mezinárodního hodnocení bylo tak předloženo již pouze 45 projektů.</w:t>
      </w:r>
    </w:p>
  </w:footnote>
  <w:footnote w:id="4">
    <w:p w14:paraId="0BB4093A" w14:textId="415E2AA6" w:rsidR="00A9665B" w:rsidRPr="00A9665B" w:rsidRDefault="00A9665B">
      <w:pPr>
        <w:pStyle w:val="Textpoznpodarou"/>
      </w:pPr>
      <w:r w:rsidRPr="00A9665B">
        <w:rPr>
          <w:rStyle w:val="Znakapoznpodarou"/>
          <w:rFonts w:ascii="Arial" w:hAnsi="Arial" w:cs="Arial"/>
          <w:lang w:val="cs-CZ"/>
        </w:rPr>
        <w:footnoteRef/>
      </w:r>
      <w:r>
        <w:t xml:space="preserve"> </w:t>
      </w:r>
      <w:r w:rsidRPr="009620AB">
        <w:rPr>
          <w:rFonts w:ascii="Arial" w:hAnsi="Arial" w:cs="Arial"/>
          <w:lang w:val="cs-CZ"/>
        </w:rPr>
        <w:t>T</w:t>
      </w:r>
      <w:r w:rsidR="0091714E">
        <w:rPr>
          <w:rFonts w:ascii="Arial" w:hAnsi="Arial" w:cs="Arial"/>
          <w:lang w:val="cs-CZ"/>
        </w:rPr>
        <w:t xml:space="preserve">zv. </w:t>
      </w:r>
      <w:r w:rsidRPr="009620AB">
        <w:rPr>
          <w:rFonts w:ascii="Arial" w:hAnsi="Arial" w:cs="Arial"/>
          <w:lang w:val="cs-CZ"/>
        </w:rPr>
        <w:t>krizový scénář je technick</w:t>
      </w:r>
      <w:r w:rsidR="002560CD">
        <w:rPr>
          <w:rFonts w:ascii="Arial" w:hAnsi="Arial" w:cs="Arial"/>
          <w:lang w:val="cs-CZ"/>
        </w:rPr>
        <w:t xml:space="preserve">ým </w:t>
      </w:r>
      <w:r w:rsidRPr="009620AB">
        <w:rPr>
          <w:rFonts w:ascii="Arial" w:hAnsi="Arial" w:cs="Arial"/>
          <w:lang w:val="cs-CZ"/>
        </w:rPr>
        <w:t>označení</w:t>
      </w:r>
      <w:r w:rsidR="002560CD">
        <w:rPr>
          <w:rFonts w:ascii="Arial" w:hAnsi="Arial" w:cs="Arial"/>
          <w:lang w:val="cs-CZ"/>
        </w:rPr>
        <w:t>m</w:t>
      </w:r>
      <w:r w:rsidRPr="009620AB">
        <w:rPr>
          <w:rFonts w:ascii="Arial" w:hAnsi="Arial" w:cs="Arial"/>
          <w:lang w:val="cs-CZ"/>
        </w:rPr>
        <w:t xml:space="preserve"> scénář</w:t>
      </w:r>
      <w:r w:rsidR="002560CD">
        <w:rPr>
          <w:rFonts w:ascii="Arial" w:hAnsi="Arial" w:cs="Arial"/>
          <w:lang w:val="cs-CZ"/>
        </w:rPr>
        <w:t>e</w:t>
      </w:r>
      <w:r w:rsidRPr="009620AB">
        <w:rPr>
          <w:rFonts w:ascii="Arial" w:hAnsi="Arial" w:cs="Arial"/>
          <w:lang w:val="cs-CZ"/>
        </w:rPr>
        <w:t xml:space="preserve"> financování velkých výzkumných infrastruktur</w:t>
      </w:r>
      <w:r>
        <w:rPr>
          <w:rFonts w:ascii="Arial" w:hAnsi="Arial" w:cs="Arial"/>
          <w:lang w:val="cs-CZ"/>
        </w:rPr>
        <w:t xml:space="preserve">, který dosahuje parametrů, </w:t>
      </w:r>
      <w:r w:rsidR="0091714E">
        <w:rPr>
          <w:rFonts w:ascii="Arial" w:hAnsi="Arial" w:cs="Arial"/>
          <w:lang w:val="cs-CZ"/>
        </w:rPr>
        <w:t>které</w:t>
      </w:r>
      <w:r>
        <w:rPr>
          <w:rFonts w:ascii="Arial" w:hAnsi="Arial" w:cs="Arial"/>
          <w:lang w:val="cs-CZ"/>
        </w:rPr>
        <w:t xml:space="preserve"> jsou z pohledu MŠMT nedostačující, leč mohou být v současné krizové situaci považovány </w:t>
      </w:r>
      <w:r w:rsidR="0091714E">
        <w:rPr>
          <w:rFonts w:ascii="Arial" w:hAnsi="Arial" w:cs="Arial"/>
          <w:lang w:val="cs-CZ"/>
        </w:rPr>
        <w:t xml:space="preserve">ještě </w:t>
      </w:r>
      <w:r>
        <w:rPr>
          <w:rFonts w:ascii="Arial" w:hAnsi="Arial" w:cs="Arial"/>
          <w:lang w:val="cs-CZ"/>
        </w:rPr>
        <w:t>za únosné.</w:t>
      </w:r>
    </w:p>
  </w:footnote>
  <w:footnote w:id="5">
    <w:p w14:paraId="517827AB" w14:textId="77777777" w:rsidR="00D21155" w:rsidRPr="00737290" w:rsidRDefault="00D21155" w:rsidP="00D21155">
      <w:pPr>
        <w:pStyle w:val="Textpoznpodarou"/>
        <w:spacing w:line="240" w:lineRule="auto"/>
        <w:rPr>
          <w:lang w:val="cs-CZ"/>
        </w:rPr>
      </w:pPr>
      <w:r w:rsidRPr="0091714E">
        <w:rPr>
          <w:rStyle w:val="Znakapoznpodarou"/>
        </w:rPr>
        <w:footnoteRef/>
      </w:r>
      <w:r w:rsidRPr="0091714E">
        <w:rPr>
          <w:rStyle w:val="Znakapoznpodarou"/>
        </w:rPr>
        <w:t xml:space="preserve"> </w:t>
      </w:r>
      <w:r w:rsidRPr="0091714E">
        <w:rPr>
          <w:rFonts w:ascii="Arial" w:hAnsi="Arial" w:cs="Arial"/>
          <w:lang w:val="cs-CZ"/>
        </w:rPr>
        <w:t>Výše účelové podpory MŠMT je u každého projektu velké výzkumné infrastruktury zaokrouhlena v každém roce vždy na celé tis. Kč směrem nahoru.</w:t>
      </w:r>
    </w:p>
  </w:footnote>
  <w:footnote w:id="6">
    <w:p w14:paraId="4E0329EE" w14:textId="268663BA" w:rsidR="00CF2208" w:rsidRPr="0091714E" w:rsidRDefault="00CF220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91714E">
        <w:rPr>
          <w:lang w:val="cs-CZ"/>
        </w:rPr>
        <w:t xml:space="preserve"> </w:t>
      </w:r>
      <w:r w:rsidRPr="00737290">
        <w:rPr>
          <w:rFonts w:ascii="Arial" w:hAnsi="Arial" w:cs="Arial"/>
          <w:lang w:val="cs-CZ"/>
        </w:rPr>
        <w:t xml:space="preserve">MŠMT </w:t>
      </w:r>
      <w:r w:rsidR="0091714E">
        <w:rPr>
          <w:rFonts w:ascii="Arial" w:hAnsi="Arial" w:cs="Arial"/>
          <w:lang w:val="cs-CZ"/>
        </w:rPr>
        <w:t>navyšovalo</w:t>
      </w:r>
      <w:r>
        <w:rPr>
          <w:rFonts w:ascii="Arial" w:hAnsi="Arial" w:cs="Arial"/>
          <w:lang w:val="cs-CZ"/>
        </w:rPr>
        <w:t xml:space="preserve"> </w:t>
      </w:r>
      <w:r w:rsidR="0091714E">
        <w:rPr>
          <w:rFonts w:ascii="Arial" w:hAnsi="Arial" w:cs="Arial"/>
          <w:lang w:val="cs-CZ"/>
        </w:rPr>
        <w:t>tuto</w:t>
      </w:r>
      <w:r>
        <w:rPr>
          <w:rFonts w:ascii="Arial" w:hAnsi="Arial" w:cs="Arial"/>
          <w:lang w:val="cs-CZ"/>
        </w:rPr>
        <w:t xml:space="preserve"> částku o 170 mil. Kč </w:t>
      </w:r>
      <w:r w:rsidR="0091714E">
        <w:rPr>
          <w:rFonts w:ascii="Arial" w:hAnsi="Arial" w:cs="Arial"/>
          <w:lang w:val="cs-CZ"/>
        </w:rPr>
        <w:t xml:space="preserve">ročně </w:t>
      </w:r>
      <w:r>
        <w:rPr>
          <w:rFonts w:ascii="Arial" w:hAnsi="Arial" w:cs="Arial"/>
          <w:lang w:val="cs-CZ"/>
        </w:rPr>
        <w:t xml:space="preserve">s využitím profilujících nároků z nespotřebovaných výdajů (NNV) na </w:t>
      </w:r>
      <w:r w:rsidR="0091714E">
        <w:rPr>
          <w:rFonts w:ascii="Arial" w:hAnsi="Arial" w:cs="Arial"/>
          <w:lang w:val="cs-CZ"/>
        </w:rPr>
        <w:t>celkových</w:t>
      </w:r>
      <w:r>
        <w:rPr>
          <w:rFonts w:ascii="Arial" w:hAnsi="Arial" w:cs="Arial"/>
          <w:lang w:val="cs-CZ"/>
        </w:rPr>
        <w:t xml:space="preserve"> 1 890 mil. Kč </w:t>
      </w:r>
      <w:r w:rsidR="003A6DE0">
        <w:rPr>
          <w:rFonts w:ascii="Arial" w:hAnsi="Arial" w:cs="Arial"/>
          <w:lang w:val="cs-CZ"/>
        </w:rPr>
        <w:t xml:space="preserve">ročně </w:t>
      </w:r>
      <w:r>
        <w:rPr>
          <w:rFonts w:ascii="Arial" w:hAnsi="Arial" w:cs="Arial"/>
          <w:lang w:val="cs-CZ"/>
        </w:rPr>
        <w:t>schválených vládou ČR.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79F4"/>
    <w:multiLevelType w:val="hybridMultilevel"/>
    <w:tmpl w:val="D3F85C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363F9E"/>
    <w:multiLevelType w:val="hybridMultilevel"/>
    <w:tmpl w:val="97AE56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B12C49"/>
    <w:multiLevelType w:val="multilevel"/>
    <w:tmpl w:val="57E09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96E38A5"/>
    <w:multiLevelType w:val="hybridMultilevel"/>
    <w:tmpl w:val="F02C6FF0"/>
    <w:lvl w:ilvl="0" w:tplc="C20E08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9E2679"/>
    <w:multiLevelType w:val="hybridMultilevel"/>
    <w:tmpl w:val="3F2E1F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0048F1"/>
    <w:multiLevelType w:val="hybridMultilevel"/>
    <w:tmpl w:val="DA9422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FD1033"/>
    <w:multiLevelType w:val="hybridMultilevel"/>
    <w:tmpl w:val="8AC2C0BC"/>
    <w:lvl w:ilvl="0" w:tplc="9A6CB81C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C36950"/>
    <w:multiLevelType w:val="hybridMultilevel"/>
    <w:tmpl w:val="11CCFE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426401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7929667">
    <w:abstractNumId w:val="2"/>
  </w:num>
  <w:num w:numId="3" w16cid:durableId="2115438840">
    <w:abstractNumId w:val="5"/>
  </w:num>
  <w:num w:numId="4" w16cid:durableId="1658923130">
    <w:abstractNumId w:val="1"/>
  </w:num>
  <w:num w:numId="5" w16cid:durableId="1749305926">
    <w:abstractNumId w:val="0"/>
  </w:num>
  <w:num w:numId="6" w16cid:durableId="1945382176">
    <w:abstractNumId w:val="7"/>
  </w:num>
  <w:num w:numId="7" w16cid:durableId="987904043">
    <w:abstractNumId w:val="4"/>
  </w:num>
  <w:num w:numId="8" w16cid:durableId="2048020596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45C"/>
    <w:rsid w:val="00000218"/>
    <w:rsid w:val="00002402"/>
    <w:rsid w:val="00003AF4"/>
    <w:rsid w:val="00010E83"/>
    <w:rsid w:val="00011737"/>
    <w:rsid w:val="0002629A"/>
    <w:rsid w:val="0002744F"/>
    <w:rsid w:val="000326A6"/>
    <w:rsid w:val="00036049"/>
    <w:rsid w:val="0004099C"/>
    <w:rsid w:val="00041748"/>
    <w:rsid w:val="00043A2B"/>
    <w:rsid w:val="0006600C"/>
    <w:rsid w:val="00067E07"/>
    <w:rsid w:val="00072B50"/>
    <w:rsid w:val="000821E1"/>
    <w:rsid w:val="0008594C"/>
    <w:rsid w:val="0008665F"/>
    <w:rsid w:val="000927EB"/>
    <w:rsid w:val="000A32A2"/>
    <w:rsid w:val="000A4B7A"/>
    <w:rsid w:val="000A5F0C"/>
    <w:rsid w:val="000A62DC"/>
    <w:rsid w:val="000B1B45"/>
    <w:rsid w:val="000B22FA"/>
    <w:rsid w:val="000B3829"/>
    <w:rsid w:val="000B4C7E"/>
    <w:rsid w:val="000C3C1D"/>
    <w:rsid w:val="000D2148"/>
    <w:rsid w:val="000D4161"/>
    <w:rsid w:val="000F34E7"/>
    <w:rsid w:val="000F60D3"/>
    <w:rsid w:val="001029DC"/>
    <w:rsid w:val="00104FE6"/>
    <w:rsid w:val="00106780"/>
    <w:rsid w:val="0011481A"/>
    <w:rsid w:val="001230C9"/>
    <w:rsid w:val="0013218B"/>
    <w:rsid w:val="001368EA"/>
    <w:rsid w:val="00140270"/>
    <w:rsid w:val="001407CC"/>
    <w:rsid w:val="00145E15"/>
    <w:rsid w:val="001474BC"/>
    <w:rsid w:val="00147C7B"/>
    <w:rsid w:val="00147D15"/>
    <w:rsid w:val="001526B9"/>
    <w:rsid w:val="001572C8"/>
    <w:rsid w:val="00157C6F"/>
    <w:rsid w:val="00160C18"/>
    <w:rsid w:val="001616FC"/>
    <w:rsid w:val="00163577"/>
    <w:rsid w:val="001677DC"/>
    <w:rsid w:val="0017435C"/>
    <w:rsid w:val="00185E57"/>
    <w:rsid w:val="00187565"/>
    <w:rsid w:val="001960A6"/>
    <w:rsid w:val="00196601"/>
    <w:rsid w:val="001A1BBF"/>
    <w:rsid w:val="001A22F3"/>
    <w:rsid w:val="001B1CC1"/>
    <w:rsid w:val="001B2E5D"/>
    <w:rsid w:val="001D1832"/>
    <w:rsid w:val="001E2EC9"/>
    <w:rsid w:val="001E4E95"/>
    <w:rsid w:val="001F008F"/>
    <w:rsid w:val="001F049B"/>
    <w:rsid w:val="001F4311"/>
    <w:rsid w:val="001F7CE3"/>
    <w:rsid w:val="0020049A"/>
    <w:rsid w:val="00200CB9"/>
    <w:rsid w:val="002019A4"/>
    <w:rsid w:val="002143BD"/>
    <w:rsid w:val="00216364"/>
    <w:rsid w:val="00227A69"/>
    <w:rsid w:val="00234C55"/>
    <w:rsid w:val="00234FAA"/>
    <w:rsid w:val="0023611F"/>
    <w:rsid w:val="002408D1"/>
    <w:rsid w:val="00242E0E"/>
    <w:rsid w:val="00243670"/>
    <w:rsid w:val="00247B5E"/>
    <w:rsid w:val="00247BD6"/>
    <w:rsid w:val="0025173C"/>
    <w:rsid w:val="002547B8"/>
    <w:rsid w:val="002560CD"/>
    <w:rsid w:val="002562FA"/>
    <w:rsid w:val="00257D17"/>
    <w:rsid w:val="00260601"/>
    <w:rsid w:val="00261A1F"/>
    <w:rsid w:val="002739C4"/>
    <w:rsid w:val="00273FA7"/>
    <w:rsid w:val="00276534"/>
    <w:rsid w:val="002809E4"/>
    <w:rsid w:val="00285277"/>
    <w:rsid w:val="0028611C"/>
    <w:rsid w:val="002866C9"/>
    <w:rsid w:val="00286C61"/>
    <w:rsid w:val="00292F33"/>
    <w:rsid w:val="00293922"/>
    <w:rsid w:val="002939EF"/>
    <w:rsid w:val="002A0E5D"/>
    <w:rsid w:val="002A36CC"/>
    <w:rsid w:val="002B729D"/>
    <w:rsid w:val="002C066F"/>
    <w:rsid w:val="002C163D"/>
    <w:rsid w:val="002C1F67"/>
    <w:rsid w:val="002D20DD"/>
    <w:rsid w:val="002D40B6"/>
    <w:rsid w:val="002F0F43"/>
    <w:rsid w:val="00315CC0"/>
    <w:rsid w:val="003212CA"/>
    <w:rsid w:val="0032431A"/>
    <w:rsid w:val="00326F62"/>
    <w:rsid w:val="0034057D"/>
    <w:rsid w:val="003458CB"/>
    <w:rsid w:val="0034658F"/>
    <w:rsid w:val="003470AB"/>
    <w:rsid w:val="003504FC"/>
    <w:rsid w:val="00353BF0"/>
    <w:rsid w:val="00357870"/>
    <w:rsid w:val="00362212"/>
    <w:rsid w:val="00367671"/>
    <w:rsid w:val="00367B8B"/>
    <w:rsid w:val="00373281"/>
    <w:rsid w:val="00373B17"/>
    <w:rsid w:val="00383AFD"/>
    <w:rsid w:val="0038405F"/>
    <w:rsid w:val="00392482"/>
    <w:rsid w:val="0039636E"/>
    <w:rsid w:val="003A1787"/>
    <w:rsid w:val="003A4CDC"/>
    <w:rsid w:val="003A4DAB"/>
    <w:rsid w:val="003A627C"/>
    <w:rsid w:val="003A6DE0"/>
    <w:rsid w:val="003B2616"/>
    <w:rsid w:val="003B315A"/>
    <w:rsid w:val="003B49B8"/>
    <w:rsid w:val="003C350D"/>
    <w:rsid w:val="003C4957"/>
    <w:rsid w:val="003C593D"/>
    <w:rsid w:val="003C5D74"/>
    <w:rsid w:val="003D199D"/>
    <w:rsid w:val="003D3A28"/>
    <w:rsid w:val="003D44D9"/>
    <w:rsid w:val="003D4CEB"/>
    <w:rsid w:val="003E34CA"/>
    <w:rsid w:val="003E620D"/>
    <w:rsid w:val="003F6C55"/>
    <w:rsid w:val="003F7091"/>
    <w:rsid w:val="004008B6"/>
    <w:rsid w:val="00407D67"/>
    <w:rsid w:val="00421136"/>
    <w:rsid w:val="0042645E"/>
    <w:rsid w:val="00426E26"/>
    <w:rsid w:val="0042712A"/>
    <w:rsid w:val="004319BE"/>
    <w:rsid w:val="004327D1"/>
    <w:rsid w:val="00433DD1"/>
    <w:rsid w:val="004437D2"/>
    <w:rsid w:val="0045343B"/>
    <w:rsid w:val="00455DE0"/>
    <w:rsid w:val="004606B9"/>
    <w:rsid w:val="00461F3E"/>
    <w:rsid w:val="004866E5"/>
    <w:rsid w:val="00486C09"/>
    <w:rsid w:val="00487212"/>
    <w:rsid w:val="004873E6"/>
    <w:rsid w:val="00495A95"/>
    <w:rsid w:val="004A2711"/>
    <w:rsid w:val="004A5AC1"/>
    <w:rsid w:val="004B18C5"/>
    <w:rsid w:val="004B2190"/>
    <w:rsid w:val="004B43A8"/>
    <w:rsid w:val="004B5919"/>
    <w:rsid w:val="004B5BB1"/>
    <w:rsid w:val="004B65EC"/>
    <w:rsid w:val="004C0C49"/>
    <w:rsid w:val="004C28FA"/>
    <w:rsid w:val="004C6D2E"/>
    <w:rsid w:val="004D0407"/>
    <w:rsid w:val="004D5819"/>
    <w:rsid w:val="004E1532"/>
    <w:rsid w:val="004E1B19"/>
    <w:rsid w:val="004E2040"/>
    <w:rsid w:val="004F2044"/>
    <w:rsid w:val="004F5BC4"/>
    <w:rsid w:val="00510DAF"/>
    <w:rsid w:val="00520BE5"/>
    <w:rsid w:val="00530408"/>
    <w:rsid w:val="005352F7"/>
    <w:rsid w:val="00536128"/>
    <w:rsid w:val="00537A94"/>
    <w:rsid w:val="0054042E"/>
    <w:rsid w:val="005478D0"/>
    <w:rsid w:val="00547A93"/>
    <w:rsid w:val="00551762"/>
    <w:rsid w:val="00551D66"/>
    <w:rsid w:val="0055248F"/>
    <w:rsid w:val="00555E85"/>
    <w:rsid w:val="00557658"/>
    <w:rsid w:val="00562837"/>
    <w:rsid w:val="00562855"/>
    <w:rsid w:val="005631A2"/>
    <w:rsid w:val="0056427E"/>
    <w:rsid w:val="00572BE0"/>
    <w:rsid w:val="00573206"/>
    <w:rsid w:val="00573BAD"/>
    <w:rsid w:val="00576363"/>
    <w:rsid w:val="005814AB"/>
    <w:rsid w:val="0058390E"/>
    <w:rsid w:val="005854FF"/>
    <w:rsid w:val="00590144"/>
    <w:rsid w:val="00597469"/>
    <w:rsid w:val="005A0F8C"/>
    <w:rsid w:val="005A19A1"/>
    <w:rsid w:val="005B1ACF"/>
    <w:rsid w:val="005B40DF"/>
    <w:rsid w:val="005B4D05"/>
    <w:rsid w:val="005C1552"/>
    <w:rsid w:val="005C1692"/>
    <w:rsid w:val="005C5A72"/>
    <w:rsid w:val="005D1457"/>
    <w:rsid w:val="005D2C5D"/>
    <w:rsid w:val="005D4B38"/>
    <w:rsid w:val="005E47BC"/>
    <w:rsid w:val="005E5948"/>
    <w:rsid w:val="00600CD4"/>
    <w:rsid w:val="00610353"/>
    <w:rsid w:val="00611A4D"/>
    <w:rsid w:val="00612079"/>
    <w:rsid w:val="006136B2"/>
    <w:rsid w:val="006203F0"/>
    <w:rsid w:val="00620B5C"/>
    <w:rsid w:val="00620C04"/>
    <w:rsid w:val="00630C50"/>
    <w:rsid w:val="00632D72"/>
    <w:rsid w:val="00633905"/>
    <w:rsid w:val="00643D6F"/>
    <w:rsid w:val="00651959"/>
    <w:rsid w:val="006560B3"/>
    <w:rsid w:val="00660EDD"/>
    <w:rsid w:val="006624C9"/>
    <w:rsid w:val="006634A8"/>
    <w:rsid w:val="006634D6"/>
    <w:rsid w:val="00664637"/>
    <w:rsid w:val="006653A2"/>
    <w:rsid w:val="00686C0B"/>
    <w:rsid w:val="006908F2"/>
    <w:rsid w:val="006922C2"/>
    <w:rsid w:val="00693479"/>
    <w:rsid w:val="006A1926"/>
    <w:rsid w:val="006A2834"/>
    <w:rsid w:val="006A37D4"/>
    <w:rsid w:val="006A6E0C"/>
    <w:rsid w:val="006B0622"/>
    <w:rsid w:val="006C15BC"/>
    <w:rsid w:val="006C26E1"/>
    <w:rsid w:val="006C327C"/>
    <w:rsid w:val="006C348B"/>
    <w:rsid w:val="006C47B9"/>
    <w:rsid w:val="006C7598"/>
    <w:rsid w:val="006D387D"/>
    <w:rsid w:val="006D404B"/>
    <w:rsid w:val="006D5D3C"/>
    <w:rsid w:val="006E0F0A"/>
    <w:rsid w:val="006E24EA"/>
    <w:rsid w:val="006E45AC"/>
    <w:rsid w:val="006E57CD"/>
    <w:rsid w:val="006E6E54"/>
    <w:rsid w:val="006F393E"/>
    <w:rsid w:val="006F5C00"/>
    <w:rsid w:val="006F62AB"/>
    <w:rsid w:val="006F66C4"/>
    <w:rsid w:val="00701D8A"/>
    <w:rsid w:val="00702BBD"/>
    <w:rsid w:val="007036B0"/>
    <w:rsid w:val="0070657A"/>
    <w:rsid w:val="00706684"/>
    <w:rsid w:val="00706B3E"/>
    <w:rsid w:val="00710C53"/>
    <w:rsid w:val="00711536"/>
    <w:rsid w:val="00721597"/>
    <w:rsid w:val="00722702"/>
    <w:rsid w:val="00723A69"/>
    <w:rsid w:val="00723CD7"/>
    <w:rsid w:val="00732581"/>
    <w:rsid w:val="00732E71"/>
    <w:rsid w:val="00736CD1"/>
    <w:rsid w:val="00737290"/>
    <w:rsid w:val="00737477"/>
    <w:rsid w:val="0073779B"/>
    <w:rsid w:val="0074101A"/>
    <w:rsid w:val="00746133"/>
    <w:rsid w:val="00753323"/>
    <w:rsid w:val="0076052A"/>
    <w:rsid w:val="00760CDB"/>
    <w:rsid w:val="00764810"/>
    <w:rsid w:val="00765838"/>
    <w:rsid w:val="00767DBB"/>
    <w:rsid w:val="007704E5"/>
    <w:rsid w:val="00775892"/>
    <w:rsid w:val="007758DF"/>
    <w:rsid w:val="00775C0D"/>
    <w:rsid w:val="007768CF"/>
    <w:rsid w:val="00780C4C"/>
    <w:rsid w:val="007813FC"/>
    <w:rsid w:val="00783861"/>
    <w:rsid w:val="007900A3"/>
    <w:rsid w:val="007914F8"/>
    <w:rsid w:val="00792574"/>
    <w:rsid w:val="007932CB"/>
    <w:rsid w:val="00796FCB"/>
    <w:rsid w:val="007A0B1C"/>
    <w:rsid w:val="007A4627"/>
    <w:rsid w:val="007A62BC"/>
    <w:rsid w:val="007B35AF"/>
    <w:rsid w:val="007B6BAD"/>
    <w:rsid w:val="007B7EAD"/>
    <w:rsid w:val="007C2D41"/>
    <w:rsid w:val="007D4297"/>
    <w:rsid w:val="007D53AD"/>
    <w:rsid w:val="007D70CD"/>
    <w:rsid w:val="007D7E75"/>
    <w:rsid w:val="007E152E"/>
    <w:rsid w:val="007E4780"/>
    <w:rsid w:val="007E68A9"/>
    <w:rsid w:val="007E7CD1"/>
    <w:rsid w:val="007F2AF8"/>
    <w:rsid w:val="00804193"/>
    <w:rsid w:val="00810BF8"/>
    <w:rsid w:val="00811CCA"/>
    <w:rsid w:val="008133C4"/>
    <w:rsid w:val="008168CF"/>
    <w:rsid w:val="00827D93"/>
    <w:rsid w:val="00827E86"/>
    <w:rsid w:val="00835C99"/>
    <w:rsid w:val="008360F6"/>
    <w:rsid w:val="00836AB3"/>
    <w:rsid w:val="00842DEE"/>
    <w:rsid w:val="0084503D"/>
    <w:rsid w:val="008510F1"/>
    <w:rsid w:val="00851EF7"/>
    <w:rsid w:val="00853FEA"/>
    <w:rsid w:val="00857766"/>
    <w:rsid w:val="008642DC"/>
    <w:rsid w:val="0086508C"/>
    <w:rsid w:val="008655C9"/>
    <w:rsid w:val="0086560E"/>
    <w:rsid w:val="00870A5D"/>
    <w:rsid w:val="00870DBE"/>
    <w:rsid w:val="00871A98"/>
    <w:rsid w:val="00871E15"/>
    <w:rsid w:val="0087316C"/>
    <w:rsid w:val="008742DE"/>
    <w:rsid w:val="00875FA8"/>
    <w:rsid w:val="00880CAE"/>
    <w:rsid w:val="00884189"/>
    <w:rsid w:val="00886785"/>
    <w:rsid w:val="00886EC7"/>
    <w:rsid w:val="008931BD"/>
    <w:rsid w:val="008A30F5"/>
    <w:rsid w:val="008B0A88"/>
    <w:rsid w:val="008B2FD9"/>
    <w:rsid w:val="008B7351"/>
    <w:rsid w:val="008B7A92"/>
    <w:rsid w:val="008B7EEC"/>
    <w:rsid w:val="008C472E"/>
    <w:rsid w:val="008C503D"/>
    <w:rsid w:val="008C51EF"/>
    <w:rsid w:val="008C56A1"/>
    <w:rsid w:val="008D1501"/>
    <w:rsid w:val="008D5CEC"/>
    <w:rsid w:val="008E2B16"/>
    <w:rsid w:val="008E4D01"/>
    <w:rsid w:val="008E7516"/>
    <w:rsid w:val="008E7526"/>
    <w:rsid w:val="008F3777"/>
    <w:rsid w:val="008F6766"/>
    <w:rsid w:val="00901C8C"/>
    <w:rsid w:val="009045E6"/>
    <w:rsid w:val="0091714E"/>
    <w:rsid w:val="00924B4D"/>
    <w:rsid w:val="009310C3"/>
    <w:rsid w:val="00932741"/>
    <w:rsid w:val="00933002"/>
    <w:rsid w:val="00944D30"/>
    <w:rsid w:val="0095390F"/>
    <w:rsid w:val="00953B16"/>
    <w:rsid w:val="009563FA"/>
    <w:rsid w:val="00963230"/>
    <w:rsid w:val="009639DE"/>
    <w:rsid w:val="009651B9"/>
    <w:rsid w:val="00973459"/>
    <w:rsid w:val="00977D33"/>
    <w:rsid w:val="00982D92"/>
    <w:rsid w:val="00983EBD"/>
    <w:rsid w:val="009911A4"/>
    <w:rsid w:val="009920E5"/>
    <w:rsid w:val="009A3610"/>
    <w:rsid w:val="009A7E4A"/>
    <w:rsid w:val="009B5CB7"/>
    <w:rsid w:val="009B671E"/>
    <w:rsid w:val="009B6FF5"/>
    <w:rsid w:val="009C6116"/>
    <w:rsid w:val="009C6B84"/>
    <w:rsid w:val="009D1686"/>
    <w:rsid w:val="009D24BC"/>
    <w:rsid w:val="009D2860"/>
    <w:rsid w:val="009D431F"/>
    <w:rsid w:val="009E02DF"/>
    <w:rsid w:val="009F0696"/>
    <w:rsid w:val="009F0D27"/>
    <w:rsid w:val="009F4779"/>
    <w:rsid w:val="009F49C2"/>
    <w:rsid w:val="00A00981"/>
    <w:rsid w:val="00A03F35"/>
    <w:rsid w:val="00A066B0"/>
    <w:rsid w:val="00A10AC9"/>
    <w:rsid w:val="00A113EF"/>
    <w:rsid w:val="00A1311B"/>
    <w:rsid w:val="00A147A3"/>
    <w:rsid w:val="00A15153"/>
    <w:rsid w:val="00A15A1C"/>
    <w:rsid w:val="00A177F8"/>
    <w:rsid w:val="00A20A13"/>
    <w:rsid w:val="00A24BDE"/>
    <w:rsid w:val="00A3029B"/>
    <w:rsid w:val="00A357F5"/>
    <w:rsid w:val="00A3681B"/>
    <w:rsid w:val="00A42BBB"/>
    <w:rsid w:val="00A47A2D"/>
    <w:rsid w:val="00A501B0"/>
    <w:rsid w:val="00A51CA7"/>
    <w:rsid w:val="00A535EA"/>
    <w:rsid w:val="00A53A9A"/>
    <w:rsid w:val="00A545FB"/>
    <w:rsid w:val="00A54FF8"/>
    <w:rsid w:val="00A57244"/>
    <w:rsid w:val="00A60D8B"/>
    <w:rsid w:val="00A6524D"/>
    <w:rsid w:val="00A6734D"/>
    <w:rsid w:val="00A707BD"/>
    <w:rsid w:val="00A738FA"/>
    <w:rsid w:val="00A75691"/>
    <w:rsid w:val="00A76BC1"/>
    <w:rsid w:val="00A80308"/>
    <w:rsid w:val="00A80CE1"/>
    <w:rsid w:val="00A86F9A"/>
    <w:rsid w:val="00A91D74"/>
    <w:rsid w:val="00A95932"/>
    <w:rsid w:val="00A9665B"/>
    <w:rsid w:val="00A96B61"/>
    <w:rsid w:val="00AA0564"/>
    <w:rsid w:val="00AA0F27"/>
    <w:rsid w:val="00AA0F2D"/>
    <w:rsid w:val="00AA3E38"/>
    <w:rsid w:val="00AB4352"/>
    <w:rsid w:val="00AB4FF2"/>
    <w:rsid w:val="00AB7E0D"/>
    <w:rsid w:val="00AC06EB"/>
    <w:rsid w:val="00AC6428"/>
    <w:rsid w:val="00AD03E5"/>
    <w:rsid w:val="00AD0BF8"/>
    <w:rsid w:val="00AD4626"/>
    <w:rsid w:val="00AE0C26"/>
    <w:rsid w:val="00AE42C0"/>
    <w:rsid w:val="00AF0A88"/>
    <w:rsid w:val="00AF137B"/>
    <w:rsid w:val="00AF33A8"/>
    <w:rsid w:val="00AF7385"/>
    <w:rsid w:val="00B00532"/>
    <w:rsid w:val="00B02C7F"/>
    <w:rsid w:val="00B04AE7"/>
    <w:rsid w:val="00B0698D"/>
    <w:rsid w:val="00B07271"/>
    <w:rsid w:val="00B079D1"/>
    <w:rsid w:val="00B101D0"/>
    <w:rsid w:val="00B16FD3"/>
    <w:rsid w:val="00B17CC7"/>
    <w:rsid w:val="00B2138A"/>
    <w:rsid w:val="00B24A47"/>
    <w:rsid w:val="00B34AEB"/>
    <w:rsid w:val="00B35668"/>
    <w:rsid w:val="00B41FB5"/>
    <w:rsid w:val="00B43FD9"/>
    <w:rsid w:val="00B5045C"/>
    <w:rsid w:val="00B606FC"/>
    <w:rsid w:val="00B6257E"/>
    <w:rsid w:val="00B629A8"/>
    <w:rsid w:val="00B645DA"/>
    <w:rsid w:val="00B71B7F"/>
    <w:rsid w:val="00B728E5"/>
    <w:rsid w:val="00B80602"/>
    <w:rsid w:val="00B80650"/>
    <w:rsid w:val="00B819A1"/>
    <w:rsid w:val="00B84949"/>
    <w:rsid w:val="00BA499C"/>
    <w:rsid w:val="00BB31D5"/>
    <w:rsid w:val="00BB4771"/>
    <w:rsid w:val="00BB5534"/>
    <w:rsid w:val="00BC2EEA"/>
    <w:rsid w:val="00BD0FDB"/>
    <w:rsid w:val="00BD1227"/>
    <w:rsid w:val="00BD1E0B"/>
    <w:rsid w:val="00BD4E25"/>
    <w:rsid w:val="00BD6DB6"/>
    <w:rsid w:val="00BD7532"/>
    <w:rsid w:val="00BE3127"/>
    <w:rsid w:val="00BF3221"/>
    <w:rsid w:val="00BF65A9"/>
    <w:rsid w:val="00C02575"/>
    <w:rsid w:val="00C032BB"/>
    <w:rsid w:val="00C04A62"/>
    <w:rsid w:val="00C053D9"/>
    <w:rsid w:val="00C10A95"/>
    <w:rsid w:val="00C23F45"/>
    <w:rsid w:val="00C304B6"/>
    <w:rsid w:val="00C311C4"/>
    <w:rsid w:val="00C32289"/>
    <w:rsid w:val="00C34F01"/>
    <w:rsid w:val="00C43112"/>
    <w:rsid w:val="00C4544B"/>
    <w:rsid w:val="00C615B9"/>
    <w:rsid w:val="00C63440"/>
    <w:rsid w:val="00C657BA"/>
    <w:rsid w:val="00C66A54"/>
    <w:rsid w:val="00C7166A"/>
    <w:rsid w:val="00C74440"/>
    <w:rsid w:val="00C80247"/>
    <w:rsid w:val="00C81FE5"/>
    <w:rsid w:val="00C83282"/>
    <w:rsid w:val="00C86744"/>
    <w:rsid w:val="00C87E95"/>
    <w:rsid w:val="00C94898"/>
    <w:rsid w:val="00C9653E"/>
    <w:rsid w:val="00CA1188"/>
    <w:rsid w:val="00CA1D19"/>
    <w:rsid w:val="00CB3BC2"/>
    <w:rsid w:val="00CB3ED3"/>
    <w:rsid w:val="00CB439E"/>
    <w:rsid w:val="00CB4802"/>
    <w:rsid w:val="00CB4C33"/>
    <w:rsid w:val="00CB7595"/>
    <w:rsid w:val="00CC1615"/>
    <w:rsid w:val="00CC2882"/>
    <w:rsid w:val="00CC37B6"/>
    <w:rsid w:val="00CD036B"/>
    <w:rsid w:val="00CD6113"/>
    <w:rsid w:val="00CD7D6A"/>
    <w:rsid w:val="00CE2D65"/>
    <w:rsid w:val="00CE659E"/>
    <w:rsid w:val="00CF20FD"/>
    <w:rsid w:val="00CF2208"/>
    <w:rsid w:val="00CF414B"/>
    <w:rsid w:val="00CF5CA7"/>
    <w:rsid w:val="00D01CB3"/>
    <w:rsid w:val="00D02068"/>
    <w:rsid w:val="00D06C74"/>
    <w:rsid w:val="00D1214E"/>
    <w:rsid w:val="00D129F5"/>
    <w:rsid w:val="00D12A82"/>
    <w:rsid w:val="00D12BE8"/>
    <w:rsid w:val="00D15246"/>
    <w:rsid w:val="00D156B9"/>
    <w:rsid w:val="00D208C7"/>
    <w:rsid w:val="00D20DBB"/>
    <w:rsid w:val="00D21155"/>
    <w:rsid w:val="00D217AE"/>
    <w:rsid w:val="00D2426C"/>
    <w:rsid w:val="00D31F8F"/>
    <w:rsid w:val="00D3639D"/>
    <w:rsid w:val="00D37083"/>
    <w:rsid w:val="00D43721"/>
    <w:rsid w:val="00D51A47"/>
    <w:rsid w:val="00D62301"/>
    <w:rsid w:val="00D62BF9"/>
    <w:rsid w:val="00D64B52"/>
    <w:rsid w:val="00D677A0"/>
    <w:rsid w:val="00D67CD1"/>
    <w:rsid w:val="00D706A2"/>
    <w:rsid w:val="00D70E7C"/>
    <w:rsid w:val="00D82BE5"/>
    <w:rsid w:val="00D83B85"/>
    <w:rsid w:val="00D86453"/>
    <w:rsid w:val="00D8760D"/>
    <w:rsid w:val="00D9061B"/>
    <w:rsid w:val="00D92856"/>
    <w:rsid w:val="00DA1151"/>
    <w:rsid w:val="00DA126C"/>
    <w:rsid w:val="00DA3BFC"/>
    <w:rsid w:val="00DB2F6C"/>
    <w:rsid w:val="00DB5CD8"/>
    <w:rsid w:val="00DB6FC6"/>
    <w:rsid w:val="00DC3FBD"/>
    <w:rsid w:val="00DC4B2B"/>
    <w:rsid w:val="00DD12AC"/>
    <w:rsid w:val="00DD406A"/>
    <w:rsid w:val="00DE35D6"/>
    <w:rsid w:val="00DE3C7A"/>
    <w:rsid w:val="00DF25CA"/>
    <w:rsid w:val="00DF4C0E"/>
    <w:rsid w:val="00DF4D2D"/>
    <w:rsid w:val="00E02EAE"/>
    <w:rsid w:val="00E0416B"/>
    <w:rsid w:val="00E118CB"/>
    <w:rsid w:val="00E12B73"/>
    <w:rsid w:val="00E14F72"/>
    <w:rsid w:val="00E25EDD"/>
    <w:rsid w:val="00E26AB9"/>
    <w:rsid w:val="00E27C4B"/>
    <w:rsid w:val="00E3347A"/>
    <w:rsid w:val="00E42B33"/>
    <w:rsid w:val="00E44266"/>
    <w:rsid w:val="00E4699D"/>
    <w:rsid w:val="00E47787"/>
    <w:rsid w:val="00E522CE"/>
    <w:rsid w:val="00E6489B"/>
    <w:rsid w:val="00E6528B"/>
    <w:rsid w:val="00E6549D"/>
    <w:rsid w:val="00E674CC"/>
    <w:rsid w:val="00E740CA"/>
    <w:rsid w:val="00E77885"/>
    <w:rsid w:val="00E808B3"/>
    <w:rsid w:val="00E865B3"/>
    <w:rsid w:val="00EA7D01"/>
    <w:rsid w:val="00EB5375"/>
    <w:rsid w:val="00EB7026"/>
    <w:rsid w:val="00EC04C8"/>
    <w:rsid w:val="00EC6279"/>
    <w:rsid w:val="00EC7FF0"/>
    <w:rsid w:val="00ED0CC3"/>
    <w:rsid w:val="00ED3CCC"/>
    <w:rsid w:val="00ED7BE7"/>
    <w:rsid w:val="00EE39A0"/>
    <w:rsid w:val="00EE4A44"/>
    <w:rsid w:val="00EF2208"/>
    <w:rsid w:val="00EF3D3E"/>
    <w:rsid w:val="00EF6217"/>
    <w:rsid w:val="00EF7FE5"/>
    <w:rsid w:val="00F038D1"/>
    <w:rsid w:val="00F03F2C"/>
    <w:rsid w:val="00F044DE"/>
    <w:rsid w:val="00F05EF9"/>
    <w:rsid w:val="00F115F5"/>
    <w:rsid w:val="00F17161"/>
    <w:rsid w:val="00F26590"/>
    <w:rsid w:val="00F424FE"/>
    <w:rsid w:val="00F42CA9"/>
    <w:rsid w:val="00F42E1E"/>
    <w:rsid w:val="00F53CB2"/>
    <w:rsid w:val="00F5446D"/>
    <w:rsid w:val="00F61388"/>
    <w:rsid w:val="00F63D4A"/>
    <w:rsid w:val="00F672BE"/>
    <w:rsid w:val="00F74B30"/>
    <w:rsid w:val="00F74B48"/>
    <w:rsid w:val="00F75638"/>
    <w:rsid w:val="00F827C8"/>
    <w:rsid w:val="00F90CE2"/>
    <w:rsid w:val="00F95A7F"/>
    <w:rsid w:val="00FA2E3D"/>
    <w:rsid w:val="00FB101A"/>
    <w:rsid w:val="00FB7894"/>
    <w:rsid w:val="00FC2279"/>
    <w:rsid w:val="00FD2B5B"/>
    <w:rsid w:val="00FD5413"/>
    <w:rsid w:val="00FE223D"/>
    <w:rsid w:val="00FE254C"/>
    <w:rsid w:val="00FE3D64"/>
    <w:rsid w:val="00FE649C"/>
    <w:rsid w:val="00FF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5665A"/>
  <w15:chartTrackingRefBased/>
  <w15:docId w15:val="{E4A0D4E1-1E0B-4D4D-BF0F-6B7C1C70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66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6601"/>
    <w:pPr>
      <w:ind w:left="720"/>
      <w:contextualSpacing/>
    </w:pPr>
  </w:style>
  <w:style w:type="character" w:customStyle="1" w:styleId="Barevnseznamzvraznn1Char">
    <w:name w:val="Barevný seznam – zvýraznění 1 Char"/>
    <w:aliases w:val="Numbered Para 1 Char,Dot pt Char,No Spacing1 Char,List Paragraph Char Char Char Char,Indicator Text Char,Bullet Points Char,MAIN CONTENT Char,List Paragraph12 Char,F5 List Paragraph Char,OBC Bullet Char"/>
    <w:link w:val="Barevnseznamzvraznn1"/>
    <w:uiPriority w:val="34"/>
    <w:qFormat/>
    <w:locked/>
    <w:rsid w:val="00D217AE"/>
    <w:rPr>
      <w:sz w:val="22"/>
      <w:szCs w:val="22"/>
      <w:lang w:val="en-GB" w:eastAsia="en-GB" w:bidi="en-GB"/>
    </w:rPr>
  </w:style>
  <w:style w:type="table" w:styleId="Barevnseznamzvraznn1">
    <w:name w:val="Colorful List Accent 1"/>
    <w:basedOn w:val="Normlntabulka"/>
    <w:link w:val="Barevnseznamzvraznn1Char"/>
    <w:uiPriority w:val="34"/>
    <w:semiHidden/>
    <w:unhideWhenUsed/>
    <w:rsid w:val="00D217AE"/>
    <w:pPr>
      <w:spacing w:after="0" w:line="240" w:lineRule="auto"/>
    </w:pPr>
    <w:rPr>
      <w:lang w:val="en-GB" w:eastAsia="en-GB" w:bidi="en-GB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Odstavecseseznamem1">
    <w:name w:val="Odstavec se seznamem1"/>
    <w:basedOn w:val="Normln"/>
    <w:rsid w:val="00B84949"/>
    <w:pPr>
      <w:spacing w:line="260" w:lineRule="exact"/>
      <w:ind w:left="720"/>
    </w:pPr>
    <w:rPr>
      <w:rFonts w:ascii="Arial" w:eastAsia="Times New Roman" w:hAnsi="Arial" w:cs="Times New Roman"/>
      <w:lang w:val="en-GB"/>
    </w:rPr>
  </w:style>
  <w:style w:type="paragraph" w:styleId="Textpoznpodarou">
    <w:name w:val="footnote text"/>
    <w:aliases w:val="Schriftart: 9 pt,Schriftart: 10 pt,Schriftart: 8 pt,WB-Fußnotentext,fn,Footnotes,Footnote ak,Footnote Text Char,FoodNote,ft,Footnote,Footnote Text Char1,Footnote Text Char Char,Footnote Text Char1 Char Char"/>
    <w:basedOn w:val="Normln"/>
    <w:link w:val="TextpoznpodarouChar"/>
    <w:uiPriority w:val="99"/>
    <w:semiHidden/>
    <w:unhideWhenUsed/>
    <w:rsid w:val="001572C8"/>
    <w:pPr>
      <w:spacing w:after="0"/>
      <w:jc w:val="both"/>
    </w:pPr>
    <w:rPr>
      <w:rFonts w:ascii="Calibri" w:eastAsia="Calibri" w:hAnsi="Calibri" w:cs="Times New Roman"/>
      <w:sz w:val="20"/>
      <w:szCs w:val="20"/>
      <w:lang w:val="en-GB" w:eastAsia="en-GB" w:bidi="en-GB"/>
    </w:rPr>
  </w:style>
  <w:style w:type="character" w:customStyle="1" w:styleId="TextpoznpodarouChar">
    <w:name w:val="Text pozn. pod čarou Char"/>
    <w:aliases w:val="Schriftart: 9 pt Char,Schriftart: 10 pt Char,Schriftart: 8 pt Char,WB-Fußnotentext Char,fn Char,Footnotes Char,Footnote ak Char,Footnote Text Char Char1,FoodNote Char,ft Char,Footnote Char,Footnote Text Char1 Char"/>
    <w:basedOn w:val="Standardnpsmoodstavce"/>
    <w:link w:val="Textpoznpodarou"/>
    <w:uiPriority w:val="99"/>
    <w:rsid w:val="001572C8"/>
    <w:rPr>
      <w:rFonts w:ascii="Calibri" w:eastAsia="Calibri" w:hAnsi="Calibri" w:cs="Times New Roman"/>
      <w:sz w:val="20"/>
      <w:szCs w:val="20"/>
      <w:lang w:val="en-GB" w:eastAsia="en-GB" w:bidi="en-GB"/>
    </w:rPr>
  </w:style>
  <w:style w:type="character" w:styleId="Znakapoznpodarou">
    <w:name w:val="footnote reference"/>
    <w:aliases w:val="Footnote symbol,Times 10 Point,Exposant 3 Point"/>
    <w:uiPriority w:val="99"/>
    <w:semiHidden/>
    <w:unhideWhenUsed/>
    <w:rsid w:val="001572C8"/>
    <w:rPr>
      <w:vertAlign w:val="superscript"/>
    </w:rPr>
  </w:style>
  <w:style w:type="character" w:styleId="Hypertextovodkaz">
    <w:name w:val="Hyperlink"/>
    <w:uiPriority w:val="99"/>
    <w:unhideWhenUsed/>
    <w:rsid w:val="00536128"/>
    <w:rPr>
      <w:color w:val="7F7F7F"/>
      <w:u w:val="single"/>
    </w:rPr>
  </w:style>
  <w:style w:type="character" w:customStyle="1" w:styleId="shorttext">
    <w:name w:val="short_text"/>
    <w:basedOn w:val="Standardnpsmoodstavce"/>
    <w:rsid w:val="00842DEE"/>
  </w:style>
  <w:style w:type="character" w:styleId="Odkaznakoment">
    <w:name w:val="annotation reference"/>
    <w:basedOn w:val="Standardnpsmoodstavce"/>
    <w:uiPriority w:val="99"/>
    <w:semiHidden/>
    <w:unhideWhenUsed/>
    <w:rsid w:val="00147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7C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7C7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7C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7C7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C7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F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25CA"/>
  </w:style>
  <w:style w:type="paragraph" w:styleId="Zpat">
    <w:name w:val="footer"/>
    <w:basedOn w:val="Normln"/>
    <w:link w:val="ZpatChar"/>
    <w:uiPriority w:val="99"/>
    <w:unhideWhenUsed/>
    <w:rsid w:val="00DF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25CA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F5446D"/>
    <w:rPr>
      <w:color w:val="605E5C"/>
      <w:shd w:val="clear" w:color="auto" w:fill="E1DFDD"/>
    </w:rPr>
  </w:style>
  <w:style w:type="paragraph" w:customStyle="1" w:styleId="Default">
    <w:name w:val="Default"/>
    <w:rsid w:val="00C867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3D4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631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ri.eu/" TargetMode="External"/><Relationship Id="rId13" Type="http://schemas.openxmlformats.org/officeDocument/2006/relationships/hyperlink" Target="https://www.esfri.eu/esfri-white-pape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sfri.eu/latest-esfri-news/jan-hrusak-appointed-new-chair-esfri" TargetMode="External"/><Relationship Id="rId17" Type="http://schemas.openxmlformats.org/officeDocument/2006/relationships/hyperlink" Target="https://www.vyzkumne-infrastruktury.cz/wp-content/uploads/2022/02/Analyza-prinosu-a-dopadu_final.zi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vyzkumne-infrastruktury.cz/2021/12/mezinarodni-peer-review-hodnoceni-velkych-vyzkumnych-infrastruktur-cr-v-roce-2021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oadmap2018.esfri.eu/projects-and-landmarks/browse-the-catalogue/?status=Landmar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c.europa.eu/info/research-and-innovation/funding/funding-opportunities/funding-programmes-and-open-calls/horizon-europe/research-infrastructures_en" TargetMode="External"/><Relationship Id="rId10" Type="http://schemas.openxmlformats.org/officeDocument/2006/relationships/hyperlink" Target="http://roadmap2018.esfri.eu/projects-and-landmarks/browse-the-catalogue/?status=Projec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sfri.eu/esfri-roadmap" TargetMode="External"/><Relationship Id="rId14" Type="http://schemas.openxmlformats.org/officeDocument/2006/relationships/hyperlink" Target="https://ec.europa.eu/info/research-and-innovation/strategy/strategy-2020-2024/our-digital-future/european-research-infrastructures/eric_e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7D9B5-5EC9-4F31-A9AD-E03726ECD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</Pages>
  <Words>7579</Words>
  <Characters>44719</Characters>
  <Application>Microsoft Office Word</Application>
  <DocSecurity>0</DocSecurity>
  <Lines>372</Lines>
  <Paragraphs>104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Chudáčková Renáta</dc:creator>
  <cp:keywords/>
  <dc:description/>
  <cp:lastModifiedBy>Levák Lukáš</cp:lastModifiedBy>
  <cp:revision>4</cp:revision>
  <cp:lastPrinted>2018-06-06T10:35:00Z</cp:lastPrinted>
  <dcterms:created xsi:type="dcterms:W3CDTF">2022-12-13T16:17:00Z</dcterms:created>
  <dcterms:modified xsi:type="dcterms:W3CDTF">2022-12-13T16:45:00Z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